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1204" w14:textId="3791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ламп светоизлучающих диодных (LED)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апреля 2021 года № 47.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исключить из единой Товарной номенклатуры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примечание 65С к Единому таможенному тарифу Евразийского экономического союза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65С)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5 % от таможенной стоимости применяется с даты вступления в силу Решения Коллегии Евразийской экономической комиссии от 20 апреля 2021 г. № 47 по 31.12.2025 включительно.".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ламп светоизлучающих диодных (LED).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г. № 47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двухцокольные, в виде прямых трубок диаметром не менее 25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г. № 47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двухцокольные, в виде прямых трубок  диаметром не менее 25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одноцокольные с винтовым цоколем,  с рассеивателем из пластмассы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8539 50 000 8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Бескодовая подсубпозиция после подсубпозиции 8539 50 000 1 ТН ВЭД ЕАЭС.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г. № 47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 светодиодными нитями, представляющими собой не менее 24 последовательно соединенных светодиодов на подложке, с покрытием композитом, содержащим люминофор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двухцокольные, в виде прямых трубок диаметром не менее 25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одноцокольные с винтовым цоколем, с рассеивателем из пластмассы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8539 50 000 8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