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5437" w14:textId="0135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оборудования, а также в Решение Коллегии Евразийской экономической комиссии от 22 января 2019 г.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марта 2021 года № 22. Утратило силу решением Коллегии Евразийской экономической комиссии от 14 января 2025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14.01.2025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Соглашения, но не ранее чем по истечении 30 календарных дней с даты официального опубликования настоящего Решения).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статьей 19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 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перечне товаров, в отношении которых применяются преференциальные ставки ввозных таможенных пошлин в соответствии с Временным соглашением, ведущим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года, и размеров таких ставок,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января 2019 г. № 10, позицию с кодом 8474 20 000 9 ТН ВЭД ЕАЭС заменить позициями следующего содержания: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"8474 20 000 6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самоходные на гусеничном ходу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8474 20 000 8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0".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2021 г. № 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2021 г. № 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2021 г. № 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