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e366" w14:textId="2e0e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№ 2 к Положению о ввозе на таможенную территорию Евразийского экономического союза радиоэлектронных средств и высокочастотных устройств гражданского назначения, в том числе встроенных либо входящих в состав других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февраля 2021 года № 18.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ввозе на таможенную территорию Евразийского экономического союза радиоэлектронных средств и высокочастотных устройств гражданского назначения, в том числе встроенных либо входящих в состав других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30), следующие изменения: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дополнить пунктом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Магнитно-резонансные томографы, системы магнитно-резонансной томографии, работающие в полосах радиочастот: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13 560 кГц +/– 1,0 % или 13 424 – 13 696 кГц;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14 600 кГц +/– 1,72 % или 14 348 – 14 852 кГц;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40,68 МГц +/– 1,0 % или 40,2 – 41,1 МГц;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63,8 МГц +/– 1,26 % или 62,90 – 64,61 МГц;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81,36 МГц +/– 1,0 % или 80,5 – 82,2 МГц;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127,7 МГц +/– 0,63 % или 126,8 – 128,51 МГц.";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подпункт 9 пункта 3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радиоприемные средства, не содержащие радиоизлучающих устройств, в том числе встроенные либо входящие в состав других устройств;".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