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d397" w14:textId="62dd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нарушений требований к производству ювелирных и других изделий, перемещенных из одного государства –члена Евразийского экономического союза в другое, в отношении которых осуществляется обмен информацией между органами государств-членов, уполномоченными на нормативное правовое регулирование в сфере производства, использования и обращения драгоценных металлов и драгоценных камней, а также изделий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января 2021 года № 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нарушений требований к производству ювелирных и других изделий, перемещенных из одного государства – члена Евразийского экономического союза в другое, в отношении которых осуществляется обмен информацией между органами государств-членов, уполномоченными на нормативное правовое регулирование в сфере производства, использования и обращения драгоценных металлов и драгоценных камней, а также изделий из них.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года, но не ранее чем по истечении 30 календарных дней с даты официального опубликования настоящего Решения.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г. № 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нарушений требований к производству ювелирных и других изделий, перемещенных из одного государства – члена Евразийского экономического союза в другое, в отношении которых осуществляется обмен информацией между органами государств-членов, уполномоченными на нормативное правовое регулирование в сфере производства, использования и обращения драгоценных металлов и драгоценных камней, а также изделий из них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Несоответствие пробы ювелирных и других изделий пробе, указанной в знаке пробирного клейма государства – члена Евразийского экономического союза (далее – государство-член), на территории которого они изготовлены или на территорию которого ввезены.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на ювелирных и других изделиях знака пробирного клейма при наличии оттиска именника изготовителя.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на ювелирных и других изделиях незарегистрированного оттиска именника изготовителя.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Невыполнение требований, предъявляемых к припоям в соответствии с Требованиями к опробованию, анализу и клеймению ювелирных и других изделий, утвержденными Решением Совета Евразийской экономической комиссии от 5 марта 2021 г. № 10 (далее – Требования).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Невыполнение требований, предъявляемых к изделиям, имеющим части, изготовленные из недрагоценных металлов, либо сочетания частей из драгоценных металлов с частями из недрагоценных металлов, в соответствии с Требованиями.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Невыполнение требований, предъявляемых к покрытию (плакировке) ювелирных и других изделий драгоценным металлом в соответствии с Требованиями.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Несоблюдение минусового допуска по содержанию серебра (при отсутствии возможности взять пробу от основного сплава без припоя) или применение указанной нормы при проведении разрушающего анализа основного сплава серебряных изделий без припоя.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недрагоценных металлов и иных материалов с целью усиления, утяжеления или заполнения полостей ювелирных и других изделий в нарушение Требований.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Отсутствие информации о наименовании и классификационных характеристиках драгоценных камней, используемых в качестве вставок в ювелирных и других изделиях, перемещенных из одного государства-члена в другое, предусмотренных требованиями нормативно-технической документации, применяемой в рамках Евразийского экономического союза, и (или) законодательства государства-члена, на территории которого они произведены.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Несоответствие характеристик драгоценных камней, используемых в качестве вставок в ювелирных и других изделиях, сопроводительным документам.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наименования природных драгоценных камней для обозначения вставок из материалов искусственного происхождения, обладающих характеристиками (свойствами) драгоценных камней, без указания на их искусственное происхождение.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Отсутствие сведений о происхождении драгоценных камней, перемещенных из одного государства-члена в другое, используемых в ювелирных изделиях.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