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f890" w14:textId="308f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мультимодальных и транзитных перевозок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9 декабря 2020 года № 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18 – 2020 годы, утвержденного Решением Евразийского межправительственного совета от 25 октября 2017 г. № 3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общего рынка транспортных услуг и создания условий для планирования и организации грузовых транспортных операций в рамках цепочки поставок, для управления этими операциями и контроля за их осуществлением, а также в целях эффективного использования транзитного потенциала государств – членов Евразийского экономического союза (далее соответственно – государства-члены, Союз) и повышения качества транспортных услуг,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результатах анализа законодательства государств-членов в сфере осуществления мультимодальных и транзитных перевозок, а также анализа мирового рынка транспортных услуг и международных договоров в сфере транспорта и инфраструктуры, участниками которых являются государства-члены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-членам с даты опубликования настоящей Рекомендации на официальном сайте Союз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В рамках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, утвержденных Решением Высшего Евразийского экономического совета от 26 декабря 2016 г. № 19, провести в 2021 – 2023 годах работу по совершенствованию законодательства государств-членов в сфере мультимодальных и транзитных перевозок, в том числе с учетом необходимости выработки предложений, касающихся принципов организации в рамках Союза смешанных перевозок (включая определение терминологии и подходов к заключению договоров с учетом особенностей осуществления международных перевозок по территориям государств-членов и международных перевозок, связанных с пересечением таможенной границы Союз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При разработке проектов нормативных правовых актов государств-членов, регламентирующих вопросы развития смешанных перевозок в соответствии с требованиями международных стандартов, принимать во внимани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Конвенции о международных смешанных перевозках грузов от 24 мая 1980 года и иных международных договоров Организации Объединенных Наций (ООН), которые устанавливают применение унифицированных документов при перевозках грузов и правила осуществления перевозок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и рекомендации Международной федерации экспедиторских ассоциаций, Балтийского и международного морского совета, Конференции ООН по торговле и развитию, Международной торговой палаты, Европейской экономической комиссии ООН и Экономической и социальной комиссии ООН для Азии и Тихого океана, касающиеся создания правовых инструментов регулирования транзитных и смешанных (интермодальных, мультимодальных, комбинированных) перевозок, а также стандарты и рекомендации Центра ООН по упрощению процедур торговли и электронным деловым операциям (в том числе справочные модели данных мультимодальных перевозок и др.)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 При подготовке проектов программных и стратегических документов по развитию транзитных и смешанных перевозок в государствах-членах принимать во внимание необходимость рационального взаимодействия, которое позволит обеспечить эффективную мобильность транзитных грузопотоков в Союзе, повысит уровень использования провозных возможностей всех видов транспорта, сокращение непроизводительной работы подвижного состава и снижение транспортных издержек в конечной стоимости товар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