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5b05" w14:textId="7025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евразийских транспортных коридоров и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декабря 2020 года № 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Договора о Евразийском экономическом союзе от 29 мая 2014 года и во исполнение пункта 14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и развития евразийских транспортных коридоров и маршрутов,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важность реализации и развития транзитного потенциала в рамках Евразийского экономического союза (далее – Союз) и повышения уровня транспортной связуемости в каждом из государств – членов Союза,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Союза с даты опубликования настоящей Рекомендации на официальном сайте Союза: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приоритетному развитию и синхронизации эксплуатационных характеристик транспортных коридоров и маршрутов, включенных в перечень евразийских транспортных коридоров и маршрутов, размещенный на официальном сайте Евразийского экономического союза по адресу: http://eec.eaeunion.org/ru/act/ energetikaiinfr/transport/Documents/transport.pdf и актуализируемый по мере необходимости Евразийской экономической комиссией совместно с государствами – членами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