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1d1a" w14:textId="b671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международного железнодорожного пассажирского сообщения между государствами –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2020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58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 рассмотреть возможность принятия следующих мер, направленных на развитие международного железнодорожного пассажирского сообщения между государствами-членами: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льгот, преференций и мер государственной поддержки в целях обновления парка пассажирских вагонов;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условий, стимулирующих перевозчиков использовать транспортные средства, имеющие улучшенные потребительские характеристики, экономические эксплуатационные параметры, а также оказывающие меньшее негативное влияние на транспортную инфраструктуру и окружающую среду;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ликвидация ограничений и "узких мест", развитие транспортной инфраструктуры, в том числе с целью повышения скорости движения пассажирских поездов;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числа технических стоянок в пути следования пассажирских поездов по территориям государств-членов;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остановок для посадки и высадки пассажиров, имеющих низкий потенциал пассажиропотока (с учетом ориентации на прямые международные железнодорожные пассажирские перевозки);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транспортных услуг, в том числе за счет международных железнодорожных пассажирских перевозок, выполняемых в соответствии с государственным заказом;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 применении льготного налогообложения при осуществлении международных железнодорожных пассажирских перевозок и о компенсации потерь в доходах перевозчиков в регулируемых сегментах.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