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d20e" w14:textId="0e1d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подходах к взаимодействию национальных интеллектуальных транспортных систем, в том числе в целях совершенствования транспортного (автомобильного)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22 декабря 2020 года № 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Решением Евразийского межправительственного совета от 25 октября 2017 г. № 3,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в целях выработки согласованных подходов к взаимодействию национальных интеллектуальных транспортных систем, в том числе в целях совершенствования транспортного (автомобильного) контроля: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разработать с участием Евразийской экономической комиссии проект концепции взаимодействия национальных интеллектуальных транспортных систем, предусматривающей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услуг транспортного комплекса;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управления транспортными процессами;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безопасности транспортной системы;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вредного воздействия на окружающую среду;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сопряжения отдельных стандартов автоматизированных систем управления;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индикаторов результативности внедрения интеллектуальных транспортных систем;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по подготовке специалистов в сфере интеллектуальных транспортных систем;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программ взаимодействия с европейскими и мировыми институтами по стандартизации в сфере интеллектуальных транспортных систем, отвечающих международным требованиям;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возможности использования технологий на базе устройств радиосвязи ближнего действия или технологии C-V2X (беспроводной сотовой связи) для организации взаимодействия уровня V2X (автомобиль – дорожная инфраструктура – участники дорожного движения);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сформировать правовые основы создания,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обеспечения функционирования национальной сети интеллектуальных транспортных систем;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проработать вопрос целесообразности установления обязательных требований к интеллектуальной транспортной системе и ее компонентам;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стимулировать использование архитектуры программного обеспечения беспилотных (автономных) автомобилей по мере развития инфраструктуры интеллектуальных транспортных систем;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принять меры, направленные на развитие и совершенствование информационного взаимодействия в сфере транспортного (автомобильного) контроля в части обмена сведениями, позволяющими повысить эффективность такого контроля.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