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d20e" w14:textId="0e1d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согласованных подходах к взаимодействию национальных интеллектуальных транспортных систем, в том числе в целях совершенствования транспортного (автомобильного)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22 декабря 2020 года № 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мероприятий ("дорожной карты") по реализации Основных направлений и этапов реализации скоординированной (согласованной) транспортной политики государств – членов Евразийского экономического союза на 2018 – 2020 годы, утвержденного Решением Евразийского межправительственного совета от 25 октября 2017 г. № 3,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в целях выработки согласованных подходов к взаимодействию национальных интеллектуальных транспортных систем, в том числе в целях совершенствования транспортного (автомобильного) контроля: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 разработать с участием Евразийской экономической комиссии проект концепции взаимодействия национальных интеллектуальных транспортных систем, предусматривающей в том числе: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доступности услуг транспортного комплекса;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управления транспортными процессами;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безопасности транспортной системы;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вредного воздействия на окружающую среду;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сопряжения отдельных стандартов автоматизированных систем управления;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системы индикаторов результативности внедрения интеллектуальных транспортных систем;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по подготовке специалистов в сфере интеллектуальных транспортных систем;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программ взаимодействия с европейскими и мировыми институтами по стандартизации в сфере интеллектуальных транспортных систем, отвечающих международным требованиям;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возможности использования технологий на базе устройств радиосвязи ближнего действия или технологии C-V2X (беспроводной сотовой связи) для организации взаимодействия уровня V2X (автомобиль – дорожная инфраструктура – участники дорожного движения);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сформировать правовые основы создания,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обеспечения функционирования национальной сети интеллектуальных транспортных систем;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проработать вопрос целесообразности установления обязательных требований к интеллектуальной транспортной системе и ее компонентам;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стимулировать использование архитектуры программного обеспечения беспилотных (автономных) автомобилей по мере развития инфраструктуры интеллектуальных транспортных систем;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принять меры, направленные на развитие и совершенствование информационного взаимодействия в сфере транспортного (автомобильного) контроля в части обмена сведениями, позволяющими повысить эффективность такого контроля.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