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12f3" w14:textId="1431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подходах к планированию использования воздушного пространства и организации воздушного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ноября 2020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во исполнение пункта 26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в части воздушного транспорта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14 августа 2017 г. № 2, в целях поэтапного формирования общего рынка услуг воздушного транспорта в рамках Евразийского экономического союза (далее – Союз)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Союза (далее – государства-члены) с даты опубликования настоящей Рекомендации на официальном сайте Союза применять согласованные подходы к планированию использования воздушного пространства и организации воздушного движения с учетом актуальности решения следующих задач: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положений Глобального аэронавигационного плана на 2016 – 2030 годы, опубликованного Международной организацией гражданской авиации (в том числе в рамках реализации блочной модернизации авиационных систем);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совместимости и гармонизации аэронавигационных систем государств-членов;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гибкого использования воздушного пространства;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процедур выдачи разрешений (уведомлений) на использование воздушного пространства воздушным судам, эксплуатируемым авиаперевозчиками государств-членов, при выполнении регулярных международных воздушных сообщений.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