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2f3" w14:textId="1431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к планированию использования воздушного пространства и организации воздушного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ноября 2020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во исполнение пункта 26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в части воздушного транспорта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14 августа 2017 г. № 2, в целях поэтапного формирования общего рынка услуг воздушного транспорта в рамках Евразийского экономического союза (далее – Союз)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(далее – государства-члены) с даты опубликования настоящей Рекомендации на официальном сайте Союза применять согласованные подходы к планированию использования воздушного пространства и организации воздушного движения с учетом актуальности решения следующих задач: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положений Глобального аэронавигационного плана на 2016 – 2030 годы, опубликованного Международной организацией гражданской авиации (в том числе в рамках реализации блочной модернизации авиационных систем);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совместимости и гармонизации аэронавигационных систем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гибкого использования воздушного пространства;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процедур выдачи разрешений (уведомлений) на использование воздушного пространства воздушным судам, эксплуатируемым авиаперевозчиками государств-членов, при выполнении регулярных международных воздушных сообщений.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