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a43" w14:textId="2a1f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понятия "совместно произведенная продукция" при принятии мер по продвижению совместно произведенной продукции приоритетных отраслей промышленности государств – членов Евразийского экономического союза на рынки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апреля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3 "О мерах по продвижению совместно произведенной продукции приоритетных отраслей государств – членов Евразийского экономического союза на рынки третьих стран",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осуществлении мероприятий, направленных на продвижение совместно произведенной продукции приоритетных отраслей государств-членов на рынки третьих стран, под "совместно произведенной продукцией" понимать продукцию, производимую в рамках кооперационных цепочек производства совместной продукции, в производстве которой участвуют производители двух и более государств-членов;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учитывать, что по истечении 1 года с даты опубликования настоящей Рекомендации на официальном сайте Евразийского экономического союза количество производителей государств-членов, указанных в подпункте "а" настоящей Рекомендации, может измениться в сторону увеличения;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исходить из того, что при осуществлении мер финансовой поддержки в отношении совместно произведенной продукции за счет средств международных банков развития и иных международных институтов развития государствами-членами могут быть разработаны иные критерии для определения совместно произведенной продукции.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