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acd3" w14:textId="d1ba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6 февраля 2020 года № 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Евразийского экономического союза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вступления в силу решения Совета Евразийской экономической комиссии о внесении изменений в раздел II перечня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в отношении шнуров огнепроводных, шнуров детонирующих, капсюлей ударных, капсюлей детонирующих, запалов и электродетонатор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ояснения к единой Товарной номенклатуре внешнеэкономической деятельности Евразийского экономического союза (приложение № 1 к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ноября 2017 г. № 21) с учетом следующего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36 тома VI слова "3603 00 100 1 и 3603 00 100 9" заменить кодами "3603 00 100 2 – 3603 00 100 8" ТН ВЭД ЕАЭ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