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e94" w14:textId="e27e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мерах развития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октября 2020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 - членов Евразийского экономического союза (далее - государства-члены) при участии Евразийской экономической комиссии и Евразийского банка развития проработать целесообразность и возможность: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механизма финансирования в национальных валютах государств-членов, осуществляемого Евразийским банком развития в целях поддержки сделок и проектов с интеграционным эффектом;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корректировки и (или) принятия программ по кредитам (включая компенсацию части процентных ставок по кредитам) и иным инструментам финансирования, реализуемых с участием Евразийского банка развития в целях поддержки сделок и проектов с интеграционным эффектом.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правительствами государств-членов и национальными экспортно-кредитными агентствами проработать до конца 2020 года вопрос о целесообразности создания Евразийского перестраховочного пула и (или) Евразийской перестраховочной компании с учетом опыта двустороннего осуществления перестрахования и сострахования экспортных сделок с целью формирования системы совместной страховой поддержки экспорта.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правительствами государств-членов проработать до конца 2020 года вопрос о возможности применения совместных мер нефинансовой поддержки экспорта в части использования информационных ресурсов, созданных в государствах-членах для поддержки экспорта продукции, произведенной в государствах-членах, на внешние рынки, и порядке доступа к таким информационным ресурсам.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