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ee94" w14:textId="e27e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совместных мерах развития экспорта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9 октября 2020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Просить правительства государств - членов Евразийского экономического союза (далее - государства-члены) при участии Евразийской экономической комиссии и Евразийского банка развития проработать целесообразность и возможность: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механизма финансирования в национальных валютах государств-членов, осуществляемого Евразийским банком развития в целях поддержки сделок и проектов с интеграционным эффектом;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корректировки и (или) принятия программ по кредитам (включая компенсацию части процентных ставок по кредитам) и иным инструментам финансирования, реализуемых с участием Евразийского банка развития в целях поддержки сделок и проектов с интеграционным эффектом.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правительствами государств-членов и национальными экспортно-кредитными агентствами проработать до конца 2020 года вопрос о целесообразности создания Евразийского перестраховочного пула и (или) Евразийской перестраховочной компании с учетом опыта двустороннего осуществления перестрахования и сострахования экспортных сделок с целью формирования системы совместной страховой поддержки экспорта.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правительствами государств-членов проработать до конца 2020 года вопрос о возможности применения совместных мер нефинансовой поддержки экспорта в части использования информационных ресурсов, созданных в государствах-членах для поддержки экспорта продукции, произведенной в государствах-членах, на внешние рынки, и порядке доступа к таким информационным ресурсам.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