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77a" w14:textId="6bbc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маркировки отдельных видов молочной продукции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23 декабря 2020 года № 129.</w:t>
      </w:r>
    </w:p>
    <w:p>
      <w:pPr>
        <w:spacing w:after="0"/>
        <w:ind w:left="0"/>
        <w:jc w:val="both"/>
      </w:pPr>
      <w:bookmarkStart w:name="z4" w:id="0"/>
      <w:r>
        <w:rPr>
          <w:rFonts w:ascii="Times New Roman"/>
          <w:b w:val="false"/>
          <w:i w:val="false"/>
          <w:color w:val="000000"/>
          <w:sz w:val="28"/>
        </w:rPr>
        <w:t xml:space="preserve">
      В соответствии с пунктом 4 статьи 7 Соглашения о маркировке товаров средствами идентификации в Евразийском экономическом союзе от 2 февраля 2018 г. (далее – Соглашение)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отдельных видов молочной продукции (далее – товары)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 При этом запрет на ввод в оборот немаркированных товаров не может быть введен ранее сроков, установленных в перечне товаров, подлежащих маркировке средствами идентификации, утвержденном настоящим Решением (далее – перечень).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которые наносятся на потребительскую и групповую упаковки молочной продукции и которые соответствуют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групповая упаковка молочной продукции – упаковка, объединяющая определенное количество потребительских упаковок одного товара, промаркированных средствами идентификации, которая также может быть реализована потребителю. Групповая упаковка молочной продукции расформировывается при изъятии хотя бы одной единицы товара из нее. Потребительские упаковки выводятся из оборота при реализации объединяющей их групповой упаковки одновременно с выводом из оборота групповой упаковки;</w:t>
      </w:r>
    </w:p>
    <w:bookmarkEnd w:id="5"/>
    <w:bookmarkStart w:name="z10" w:id="6"/>
    <w:p>
      <w:pPr>
        <w:spacing w:after="0"/>
        <w:ind w:left="0"/>
        <w:jc w:val="both"/>
      </w:pPr>
      <w:r>
        <w:rPr>
          <w:rFonts w:ascii="Times New Roman"/>
          <w:b w:val="false"/>
          <w:i w:val="false"/>
          <w:color w:val="000000"/>
          <w:sz w:val="28"/>
        </w:rPr>
        <w:t>
      потребительская упаковка – упаковка, предназначенная для продажи или первичной упаковки продукции, реализуемая совместно с продукцией;</w:t>
      </w:r>
    </w:p>
    <w:bookmarkEnd w:id="6"/>
    <w:bookmarkStart w:name="z11" w:id="7"/>
    <w:p>
      <w:pPr>
        <w:spacing w:after="0"/>
        <w:ind w:left="0"/>
        <w:jc w:val="both"/>
      </w:pPr>
      <w:r>
        <w:rPr>
          <w:rFonts w:ascii="Times New Roman"/>
          <w:b w:val="false"/>
          <w:i w:val="false"/>
          <w:color w:val="000000"/>
          <w:sz w:val="28"/>
        </w:rPr>
        <w:t>
      молочная продукция объемом 20 литров и более либо весом 20 килограммов и более в упаковке, предназначенной для многократного применения (многооборотная упаковка), не подлежит маркировке до ее расфасовки в потребительскую упаковку промышленным способом;</w:t>
      </w:r>
    </w:p>
    <w:bookmarkEnd w:id="7"/>
    <w:bookmarkStart w:name="z12" w:id="8"/>
    <w:p>
      <w:pPr>
        <w:spacing w:after="0"/>
        <w:ind w:left="0"/>
        <w:jc w:val="both"/>
      </w:pPr>
      <w:r>
        <w:rPr>
          <w:rFonts w:ascii="Times New Roman"/>
          <w:b w:val="false"/>
          <w:i w:val="false"/>
          <w:color w:val="000000"/>
          <w:sz w:val="28"/>
        </w:rPr>
        <w:t>
      молочная продукция, масса нетто которой составляет 30 граммов и менее, молочная продукция, упакованная непромышленным способом в розничном звене, детское питание для детей до 3 лет и специализированное диетическое лечебное и диетическое профилактическое питание не подлежат маркировке;</w:t>
      </w:r>
    </w:p>
    <w:bookmarkEnd w:id="8"/>
    <w:bookmarkStart w:name="z13" w:id="9"/>
    <w:p>
      <w:pPr>
        <w:spacing w:after="0"/>
        <w:ind w:left="0"/>
        <w:jc w:val="both"/>
      </w:pPr>
      <w:r>
        <w:rPr>
          <w:rFonts w:ascii="Times New Roman"/>
          <w:b w:val="false"/>
          <w:i w:val="false"/>
          <w:color w:val="000000"/>
          <w:sz w:val="28"/>
        </w:rPr>
        <w:t>
      набор товаров – формируемая участником оборота молочной продукции совокупность товаров, включающая маркированную молочную продукцию, объединенная общей потребительской упаковкой, имеющая общее средство идентификации (средство идентификации набора товаров) и подлежащая реализации (продаже) с возможностью ее расформирования. При реализации набора товаров одновременно с выводом из оборота набора товаров из оборота выводится маркированная молочная продукция, включенная в такой набор товаров. При расформировании набора товаров сведения о его расформировании фиксируются в национальном компоненте информационной системы маркировки товаров, а маркированная молочная продукция, включенная в такой набор товаров, вводится в оборот;</w:t>
      </w:r>
    </w:p>
    <w:bookmarkEnd w:id="9"/>
    <w:bookmarkStart w:name="z14" w:id="10"/>
    <w:p>
      <w:pPr>
        <w:spacing w:after="0"/>
        <w:ind w:left="0"/>
        <w:jc w:val="both"/>
      </w:pPr>
      <w:r>
        <w:rPr>
          <w:rFonts w:ascii="Times New Roman"/>
          <w:b w:val="false"/>
          <w:i w:val="false"/>
          <w:color w:val="000000"/>
          <w:sz w:val="28"/>
        </w:rPr>
        <w:t>
      маркировка остатков товаров, включенных в перечень, не осуществляется, сроки нахождения в обороте немаркированных товаров определяются законодательством государства-члена;</w:t>
      </w:r>
    </w:p>
    <w:bookmarkEnd w:id="10"/>
    <w:bookmarkStart w:name="z15" w:id="11"/>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11"/>
    <w:bookmarkStart w:name="z16" w:id="12"/>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3. Утвердить прилагаемые: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декабря 2020 г. № 129</w:t>
            </w:r>
          </w:p>
        </w:tc>
      </w:tr>
    </w:tbl>
    <w:bookmarkStart w:name="z31" w:id="16"/>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6"/>
    <w:p>
      <w:pPr>
        <w:spacing w:after="0"/>
        <w:ind w:left="0"/>
        <w:jc w:val="both"/>
      </w:pPr>
      <w:r>
        <w:rPr>
          <w:rFonts w:ascii="Times New Roman"/>
          <w:b w:val="false"/>
          <w:i w:val="false"/>
          <w:color w:val="ff0000"/>
          <w:sz w:val="28"/>
        </w:rPr>
        <w:t xml:space="preserve">
      Сноска. Перечень с изменениями, внесенными решениями Совета Евразийской экономической комиссии от 02.12.2021 </w:t>
      </w:r>
      <w:r>
        <w:rPr>
          <w:rFonts w:ascii="Times New Roman"/>
          <w:b w:val="false"/>
          <w:i w:val="false"/>
          <w:color w:val="ff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введения запрета на ввод в оборот немаркированных товаров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за исключением 0406 10 500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мороженое и прочие виды пищевого льда, </w:t>
            </w:r>
          </w:p>
          <w:p>
            <w:pPr>
              <w:spacing w:after="20"/>
              <w:ind w:left="20"/>
              <w:jc w:val="both"/>
            </w:pPr>
            <w:r>
              <w:rPr>
                <w:rFonts w:ascii="Times New Roman"/>
                <w:b w:val="false"/>
                <w:i w:val="false"/>
                <w:color w:val="000000"/>
                <w:sz w:val="20"/>
              </w:rPr>
              <w:t xml:space="preserve">не содержащие </w:t>
            </w:r>
          </w:p>
          <w:p>
            <w:pPr>
              <w:spacing w:after="20"/>
              <w:ind w:left="20"/>
              <w:jc w:val="both"/>
            </w:pPr>
            <w:r>
              <w:rPr>
                <w:rFonts w:ascii="Times New Roman"/>
                <w:b w:val="false"/>
                <w:i w:val="false"/>
                <w:color w:val="000000"/>
                <w:sz w:val="20"/>
              </w:rPr>
              <w:t>или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содержащие жир, полученный из продуктов товарных позиций 0401 – 0404, менее 0,2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2202 99 950 0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содержащие жир, полученный из продуктов товарных позиций 0401 – 0404, 0,2 мас.% или более, но менее 2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2202 99 990 0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безалкогольные напитки, содержащие жир, полученный </w:t>
            </w:r>
          </w:p>
          <w:p>
            <w:pPr>
              <w:spacing w:after="20"/>
              <w:ind w:left="20"/>
              <w:jc w:val="both"/>
            </w:pPr>
            <w:r>
              <w:rPr>
                <w:rFonts w:ascii="Times New Roman"/>
                <w:b w:val="false"/>
                <w:i w:val="false"/>
                <w:color w:val="000000"/>
                <w:sz w:val="20"/>
              </w:rPr>
              <w:t xml:space="preserve">из продуктов товарных позиций 0401 – 0404, </w:t>
            </w:r>
          </w:p>
          <w:p>
            <w:pPr>
              <w:spacing w:after="20"/>
              <w:ind w:left="20"/>
              <w:jc w:val="both"/>
            </w:pPr>
            <w:r>
              <w:rPr>
                <w:rFonts w:ascii="Times New Roman"/>
                <w:b w:val="false"/>
                <w:i w:val="false"/>
                <w:color w:val="000000"/>
                <w:sz w:val="20"/>
              </w:rPr>
              <w:t>2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суток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2021 г.</w:t>
            </w:r>
          </w:p>
        </w:tc>
      </w:tr>
    </w:tbl>
    <w:bookmarkStart w:name="z32" w:id="17"/>
    <w:p>
      <w:pPr>
        <w:spacing w:after="0"/>
        <w:ind w:left="0"/>
        <w:jc w:val="both"/>
      </w:pPr>
      <w:r>
        <w:rPr>
          <w:rFonts w:ascii="Times New Roman"/>
          <w:b w:val="false"/>
          <w:i w:val="false"/>
          <w:color w:val="000000"/>
          <w:sz w:val="28"/>
        </w:rPr>
        <w:t>
      * Минимальный срок хранения, предусмотренный для данного вида товара соответствующей нормативно-технической документацией, при соблюдении установленных условий хранения.</w:t>
      </w:r>
    </w:p>
    <w:bookmarkEnd w:id="17"/>
    <w:bookmarkStart w:name="z166" w:id="18"/>
    <w:p>
      <w:pPr>
        <w:spacing w:after="0"/>
        <w:ind w:left="0"/>
        <w:jc w:val="both"/>
      </w:pPr>
      <w:r>
        <w:rPr>
          <w:rFonts w:ascii="Times New Roman"/>
          <w:b w:val="false"/>
          <w:i w:val="false"/>
          <w:color w:val="000000"/>
          <w:sz w:val="28"/>
        </w:rPr>
        <w:t>
      ** За исключением мороженого и десертов без содержания молочных жиров и (или) молочного белка в составе.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декабря 2020 г. № 129</w:t>
            </w:r>
          </w:p>
        </w:tc>
      </w:tr>
    </w:tbl>
    <w:bookmarkStart w:name="z34" w:id="19"/>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9"/>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35" w:id="20"/>
    <w:p>
      <w:pPr>
        <w:spacing w:after="0"/>
        <w:ind w:left="0"/>
        <w:jc w:val="both"/>
      </w:pPr>
      <w:r>
        <w:rPr>
          <w:rFonts w:ascii="Times New Roman"/>
          <w:b w:val="false"/>
          <w:i w:val="false"/>
          <w:color w:val="000000"/>
          <w:sz w:val="28"/>
        </w:rPr>
        <w:t>
      1. Настоящий документ разработан в соответствии с подпунктом "а" пункта 1 статьи 5 Соглашения о маркировке товаров средствами идентификации в Евразийском экономическом союзе от 2 февраля 2018 года.</w:t>
      </w:r>
    </w:p>
    <w:bookmarkEnd w:id="20"/>
    <w:bookmarkStart w:name="z36" w:id="21"/>
    <w:p>
      <w:pPr>
        <w:spacing w:after="0"/>
        <w:ind w:left="0"/>
        <w:jc w:val="both"/>
      </w:pPr>
      <w:r>
        <w:rPr>
          <w:rFonts w:ascii="Times New Roman"/>
          <w:b w:val="false"/>
          <w:i w:val="false"/>
          <w:color w:val="000000"/>
          <w:sz w:val="28"/>
        </w:rPr>
        <w:t>
      2. Для маркировки потребительской и групповой упаковки товаров, классифицируемых в позициях 0401, 0402, 0403, 0404, 0405, 0406, 2105 00, 2202 99 910 0, 2202 99 950 0, 2202 99 990 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21"/>
    <w:bookmarkStart w:name="z37" w:id="22"/>
    <w:p>
      <w:pPr>
        <w:spacing w:after="0"/>
        <w:ind w:left="0"/>
        <w:jc w:val="both"/>
      </w:pPr>
      <w:r>
        <w:rPr>
          <w:rFonts w:ascii="Times New Roman"/>
          <w:b w:val="false"/>
          <w:i w:val="false"/>
          <w:color w:val="000000"/>
          <w:sz w:val="28"/>
        </w:rPr>
        <w:t>
      первая группа идентифицируется идентификатором применения AI=’01’, состоит из 14 цифр и содержит код товара (глобальный идентификационный номер торговой единицы (GTIN));</w:t>
      </w:r>
    </w:p>
    <w:bookmarkEnd w:id="22"/>
    <w:bookmarkStart w:name="z38" w:id="23"/>
    <w:p>
      <w:pPr>
        <w:spacing w:after="0"/>
        <w:ind w:left="0"/>
        <w:jc w:val="both"/>
      </w:pPr>
      <w:r>
        <w:rPr>
          <w:rFonts w:ascii="Times New Roman"/>
          <w:b w:val="false"/>
          <w:i w:val="false"/>
          <w:color w:val="000000"/>
          <w:sz w:val="28"/>
        </w:rPr>
        <w:t>
      вторая группа идентифицируется идентификатором применения AI=’21’, состоит из 6 или 8 символов (цифр, строчных и прописных букв латинского алфавита, а также специальных символов (! ” % &amp; ’ * + - . / _ , : ; = &lt; &gt; ?). Данная группа содержит индивидуальный серийный номер товара (упаковки товара),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и завершается данная группа символом-разделителем ASCII 29;</w:t>
      </w:r>
    </w:p>
    <w:bookmarkEnd w:id="23"/>
    <w:bookmarkStart w:name="z39" w:id="24"/>
    <w:p>
      <w:pPr>
        <w:spacing w:after="0"/>
        <w:ind w:left="0"/>
        <w:jc w:val="both"/>
      </w:pPr>
      <w:r>
        <w:rPr>
          <w:rFonts w:ascii="Times New Roman"/>
          <w:b w:val="false"/>
          <w:i w:val="false"/>
          <w:color w:val="000000"/>
          <w:sz w:val="28"/>
        </w:rPr>
        <w:t xml:space="preserve">
      третья группа идентифицируется идентификатором применения AI=’93’, состоит из 4 символов (цифр, строчных и прописных букв латинского алфавита, а также специальных символов) и содержит код проверки. </w:t>
      </w:r>
    </w:p>
    <w:bookmarkEnd w:id="24"/>
    <w:bookmarkStart w:name="z40" w:id="25"/>
    <w:p>
      <w:pPr>
        <w:spacing w:after="0"/>
        <w:ind w:left="0"/>
        <w:jc w:val="both"/>
      </w:pPr>
      <w:r>
        <w:rPr>
          <w:rFonts w:ascii="Times New Roman"/>
          <w:b w:val="false"/>
          <w:i w:val="false"/>
          <w:color w:val="000000"/>
          <w:sz w:val="28"/>
        </w:rPr>
        <w:t>
      Третья группа данных используется в соответствии с подпунктом "в"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3. Средства идентификации товаров генерируются эмитентами средств идентификации государств – членов Евразийского экономического союза или участниками оборота.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4. Товары маркируются путем нанесения средств идентификации на упаковку товара либо на этикетку или стикер, наносимые на упаковку.</w:t>
      </w:r>
    </w:p>
    <w:bookmarkEnd w:id="27"/>
    <w:bookmarkStart w:name="z43" w:id="28"/>
    <w:p>
      <w:pPr>
        <w:spacing w:after="0"/>
        <w:ind w:left="0"/>
        <w:jc w:val="both"/>
      </w:pPr>
      <w:r>
        <w:rPr>
          <w:rFonts w:ascii="Times New Roman"/>
          <w:b w:val="false"/>
          <w:i w:val="false"/>
          <w:color w:val="000000"/>
          <w:sz w:val="28"/>
        </w:rPr>
        <w:t>
      5. При комплектации маркированных товаров в транспортную упаковку на такую транспортную упаковку может наноситься уникальный идентификатор транспортной упаковки с агрегированием средств идентификации, помещенных в такую упаковку. При этом под агрегированием понимается объединение средств идентификации маркированных товаров, помещенных в транспортную упаковку, с общим уникальным идентификатором создаваемой транспортной упаковки, наносимым на нее в целях последующей идентификации маркированных товаров без необходимости вскрытия транспортной упаковки.</w:t>
      </w:r>
    </w:p>
    <w:bookmarkEnd w:id="28"/>
    <w:bookmarkStart w:name="z44" w:id="29"/>
    <w:p>
      <w:pPr>
        <w:spacing w:after="0"/>
        <w:ind w:left="0"/>
        <w:jc w:val="both"/>
      </w:pPr>
      <w:r>
        <w:rPr>
          <w:rFonts w:ascii="Times New Roman"/>
          <w:b w:val="false"/>
          <w:i w:val="false"/>
          <w:color w:val="000000"/>
          <w:sz w:val="28"/>
        </w:rPr>
        <w:t>
      Формирование идентификатора и маркировка транспортной упаковки осуществляются в соответствии со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декабря 2020 г. № 129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6" w:id="30"/>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0"/>
    <w:p>
      <w:pPr>
        <w:spacing w:after="0"/>
        <w:ind w:left="0"/>
        <w:jc w:val="both"/>
      </w:pPr>
      <w:r>
        <w:rPr>
          <w:rFonts w:ascii="Times New Roman"/>
          <w:b w:val="false"/>
          <w:i w:val="false"/>
          <w:color w:val="ff0000"/>
          <w:sz w:val="28"/>
        </w:rPr>
        <w:t xml:space="preserve">
      Сноска. Требования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0401, 0402, 0403, 0404, 0405, 0406, 2105 00, 2202 99 910 0, 2202 99 950 0 и 2202 99 990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Start w:name="z401" w:id="31"/>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1"/>
    <w:bookmarkStart w:name="z402" w:id="32"/>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2"/>
    <w:bookmarkStart w:name="z403" w:id="33"/>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3"/>
    <w:bookmarkStart w:name="z404" w:id="34"/>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позициях 0401, 0402, 0403, 0404, 0405, 0406, 2105 00, 2202 99 910 0, 2202 99 950 0 и 2202 99 990 0 ТН ВЭД ЕАЭС, и правил формирования реквизита "Блок данных средства идентификации", указанных в таблицах 1 – 4 настоящих требований.</w:t>
      </w:r>
    </w:p>
    <w:bookmarkEnd w:id="34"/>
    <w:bookmarkStart w:name="z405" w:id="35"/>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5"/>
    <w:bookmarkStart w:name="z406" w:id="36"/>
    <w:p>
      <w:pPr>
        <w:spacing w:after="0"/>
        <w:ind w:left="0"/>
        <w:jc w:val="both"/>
      </w:pPr>
      <w:r>
        <w:rPr>
          <w:rFonts w:ascii="Times New Roman"/>
          <w:b w:val="false"/>
          <w:i w:val="false"/>
          <w:color w:val="000000"/>
          <w:sz w:val="28"/>
        </w:rPr>
        <w:t xml:space="preserve">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 </w:t>
      </w:r>
    </w:p>
    <w:bookmarkEnd w:id="36"/>
    <w:bookmarkStart w:name="z407" w:id="37"/>
    <w:p>
      <w:pPr>
        <w:spacing w:after="0"/>
        <w:ind w:left="0"/>
        <w:jc w:val="both"/>
      </w:pPr>
      <w:r>
        <w:rPr>
          <w:rFonts w:ascii="Times New Roman"/>
          <w:b w:val="false"/>
          <w:i w:val="false"/>
          <w:color w:val="000000"/>
          <w:sz w:val="28"/>
        </w:rPr>
        <w:t>
      Таблица 1</w:t>
      </w:r>
    </w:p>
    <w:bookmarkEnd w:id="37"/>
    <w:bookmarkStart w:name="z408" w:id="38"/>
    <w:p>
      <w:pPr>
        <w:spacing w:after="0"/>
        <w:ind w:left="0"/>
        <w:jc w:val="left"/>
      </w:pPr>
      <w:r>
        <w:rPr>
          <w:rFonts w:ascii="Times New Roman"/>
          <w:b/>
          <w:i w:val="false"/>
          <w:color w:val="000000"/>
        </w:rPr>
        <w:t xml:space="preserve"> Перечень сведений о характеристиках товара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Например: ("молоко", "сметана", "йогурт" </w:t>
            </w:r>
          </w:p>
          <w:p>
            <w:pPr>
              <w:spacing w:after="20"/>
              <w:ind w:left="20"/>
              <w:jc w:val="both"/>
            </w:pPr>
            <w:r>
              <w:rPr>
                <w:rFonts w:ascii="Times New Roman"/>
                <w:b w:val="false"/>
                <w:i w:val="false"/>
                <w:color w:val="000000"/>
                <w:sz w:val="20"/>
              </w:rPr>
              <w:t>и т.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сырья (вид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отличительный признак товара по животному происхождению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сельскохозяйственных животных от которых произошло сырье для изготовления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
          <w:p>
            <w:pPr>
              <w:spacing w:after="20"/>
              <w:ind w:left="20"/>
              <w:jc w:val="both"/>
            </w:pPr>
            <w:r>
              <w:rPr>
                <w:rFonts w:ascii="Times New Roman"/>
                <w:b w:val="false"/>
                <w:i w:val="false"/>
                <w:color w:val="000000"/>
                <w:sz w:val="20"/>
              </w:rPr>
              <w:t xml:space="preserve">
обозначение, используемое </w:t>
            </w:r>
          </w:p>
          <w:bookmarkEnd w:id="39"/>
          <w:p>
            <w:pPr>
              <w:spacing w:after="20"/>
              <w:ind w:left="20"/>
              <w:jc w:val="both"/>
            </w:pPr>
            <w:r>
              <w:rPr>
                <w:rFonts w:ascii="Times New Roman"/>
                <w:b w:val="false"/>
                <w:i w:val="false"/>
                <w:color w:val="000000"/>
                <w:sz w:val="20"/>
              </w:rPr>
              <w:t>в позиционировании товаров конкретного производителя на целевом рынке. При отсутствии товарного знака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жира </w:t>
            </w:r>
          </w:p>
          <w:p>
            <w:pPr>
              <w:spacing w:after="20"/>
              <w:ind w:left="20"/>
              <w:jc w:val="both"/>
            </w:pPr>
            <w:r>
              <w:rPr>
                <w:rFonts w:ascii="Times New Roman"/>
                <w:b w:val="false"/>
                <w:i w:val="false"/>
                <w:color w:val="000000"/>
                <w:sz w:val="20"/>
              </w:rPr>
              <w:t>(в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содержания 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указывается </w:t>
            </w:r>
          </w:p>
          <w:p>
            <w:pPr>
              <w:spacing w:after="20"/>
              <w:ind w:left="20"/>
              <w:jc w:val="both"/>
            </w:pPr>
            <w:r>
              <w:rPr>
                <w:rFonts w:ascii="Times New Roman"/>
                <w:b w:val="false"/>
                <w:i w:val="false"/>
                <w:color w:val="000000"/>
                <w:sz w:val="20"/>
              </w:rPr>
              <w:t>в соответствии с требованиями технического регламента Таможенного союза "О безопасности молока и молочной продукции" (ТР ТС 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белка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содержания белка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обязательный для товара с нормируемым значением белка, в случае если товар подлежит ветеринарному контролю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
          <w:p>
            <w:pPr>
              <w:spacing w:after="20"/>
              <w:ind w:left="20"/>
              <w:jc w:val="both"/>
            </w:pPr>
            <w:r>
              <w:rPr>
                <w:rFonts w:ascii="Times New Roman"/>
                <w:b w:val="false"/>
                <w:i w:val="false"/>
                <w:color w:val="000000"/>
                <w:sz w:val="20"/>
              </w:rPr>
              <w:t>
признак принимает значение: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"да" – если товар имеет переменную массу;</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или объем молочной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потребительской упаковке или его объем с указанием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молочной продукции, у которой значение признака переменной массы "нет"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массы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веса товара в диапазоне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массы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товара в диапазоне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лечебного или иного специализированного питания на молочной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лечебному или специальному питаню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1"/>
          <w:p>
            <w:pPr>
              <w:spacing w:after="20"/>
              <w:ind w:left="20"/>
              <w:jc w:val="both"/>
            </w:pPr>
            <w:r>
              <w:rPr>
                <w:rFonts w:ascii="Times New Roman"/>
                <w:b w:val="false"/>
                <w:i w:val="false"/>
                <w:color w:val="000000"/>
                <w:sz w:val="20"/>
              </w:rPr>
              <w:t>
признак принимает значение: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"да" – лечебное или специальное питание;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 в остальных случаях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продукции детского питания на молочной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детскому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2"/>
          <w:p>
            <w:pPr>
              <w:spacing w:after="20"/>
              <w:ind w:left="20"/>
              <w:jc w:val="both"/>
            </w:pPr>
            <w:r>
              <w:rPr>
                <w:rFonts w:ascii="Times New Roman"/>
                <w:b w:val="false"/>
                <w:i w:val="false"/>
                <w:color w:val="000000"/>
                <w:sz w:val="20"/>
              </w:rPr>
              <w:t>
признак принимает значение: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"да" – детское питание;</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молочной продукции </w:t>
            </w:r>
          </w:p>
          <w:p>
            <w:pPr>
              <w:spacing w:after="20"/>
              <w:ind w:left="20"/>
              <w:jc w:val="both"/>
            </w:pPr>
            <w:r>
              <w:rPr>
                <w:rFonts w:ascii="Times New Roman"/>
                <w:b w:val="false"/>
                <w:i w:val="false"/>
                <w:color w:val="000000"/>
                <w:sz w:val="20"/>
              </w:rPr>
              <w:t>с указанием входящих в него компонентов (качественный)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формируется </w:t>
            </w:r>
          </w:p>
          <w:p>
            <w:pPr>
              <w:spacing w:after="20"/>
              <w:ind w:left="20"/>
              <w:jc w:val="both"/>
            </w:pPr>
            <w:r>
              <w:rPr>
                <w:rFonts w:ascii="Times New Roman"/>
                <w:b w:val="false"/>
                <w:i w:val="false"/>
                <w:color w:val="000000"/>
                <w:sz w:val="20"/>
              </w:rPr>
              <w:t>в свободной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материалов потребительской упаковки, сформированное </w:t>
            </w:r>
          </w:p>
          <w:p>
            <w:pPr>
              <w:spacing w:after="20"/>
              <w:ind w:left="20"/>
              <w:jc w:val="both"/>
            </w:pPr>
            <w:r>
              <w:rPr>
                <w:rFonts w:ascii="Times New Roman"/>
                <w:b w:val="false"/>
                <w:i w:val="false"/>
                <w:color w:val="000000"/>
                <w:sz w:val="20"/>
              </w:rPr>
              <w:t>с использованием гармонизированных со стандартами GS1 наименований материалов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подконтрольности товара ветеринарному надзору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подконтрольности товара ветеринарному надзору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3"/>
          <w:p>
            <w:pPr>
              <w:spacing w:after="20"/>
              <w:ind w:left="20"/>
              <w:jc w:val="both"/>
            </w:pPr>
            <w:r>
              <w:rPr>
                <w:rFonts w:ascii="Times New Roman"/>
                <w:b w:val="false"/>
                <w:i w:val="false"/>
                <w:color w:val="000000"/>
                <w:sz w:val="20"/>
              </w:rPr>
              <w:t>
признак принимает значение:</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"да" – подконтрольный товар;</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срока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принадлежности </w:t>
            </w:r>
          </w:p>
          <w:p>
            <w:pPr>
              <w:spacing w:after="20"/>
              <w:ind w:left="20"/>
              <w:jc w:val="both"/>
            </w:pPr>
            <w:r>
              <w:rPr>
                <w:rFonts w:ascii="Times New Roman"/>
                <w:b w:val="false"/>
                <w:i w:val="false"/>
                <w:color w:val="000000"/>
                <w:sz w:val="20"/>
              </w:rPr>
              <w:t>к товарам, срок хранения которых составляет до 40 суток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4"/>
          <w:p>
            <w:pPr>
              <w:spacing w:after="20"/>
              <w:ind w:left="20"/>
              <w:jc w:val="both"/>
            </w:pPr>
            <w:r>
              <w:rPr>
                <w:rFonts w:ascii="Times New Roman"/>
                <w:b w:val="false"/>
                <w:i w:val="false"/>
                <w:color w:val="000000"/>
                <w:sz w:val="20"/>
              </w:rPr>
              <w:t>
признак принимает значение:</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"да" – срок хранения товара составляет до 40 суток (включительно);</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в групповой упаковке (для групповых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вложений потребительских упаковок в групповую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и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и условия хранения при которых товар сохраняет годность в указанный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1" w:id="45"/>
    <w:p>
      <w:pPr>
        <w:spacing w:after="0"/>
        <w:ind w:left="0"/>
        <w:jc w:val="both"/>
      </w:pPr>
      <w:r>
        <w:rPr>
          <w:rFonts w:ascii="Times New Roman"/>
          <w:b w:val="false"/>
          <w:i w:val="false"/>
          <w:color w:val="000000"/>
          <w:sz w:val="28"/>
        </w:rPr>
        <w:t>
      Таблица 2</w:t>
      </w:r>
    </w:p>
    <w:bookmarkEnd w:id="45"/>
    <w:bookmarkStart w:name="z422" w:id="46"/>
    <w:p>
      <w:pPr>
        <w:spacing w:after="0"/>
        <w:ind w:left="0"/>
        <w:jc w:val="left"/>
      </w:pPr>
      <w:r>
        <w:rPr>
          <w:rFonts w:ascii="Times New Roman"/>
          <w:b/>
          <w:i w:val="false"/>
          <w:color w:val="000000"/>
        </w:rPr>
        <w:t xml:space="preserve"> Перечень сведений о единице товара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товара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сведения </w:t>
            </w:r>
          </w:p>
          <w:p>
            <w:pPr>
              <w:spacing w:after="20"/>
              <w:ind w:left="20"/>
              <w:jc w:val="both"/>
            </w:pPr>
            <w:r>
              <w:rPr>
                <w:rFonts w:ascii="Times New Roman"/>
                <w:b w:val="false"/>
                <w:i w:val="false"/>
                <w:color w:val="000000"/>
                <w:sz w:val="20"/>
              </w:rPr>
              <w:t>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дата окончания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(объем)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массе (объеме)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массе (объеме) единицы товара, для которого признак переменной массы указан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3" w:id="47"/>
    <w:p>
      <w:pPr>
        <w:spacing w:after="0"/>
        <w:ind w:left="0"/>
        <w:jc w:val="both"/>
      </w:pPr>
      <w:r>
        <w:rPr>
          <w:rFonts w:ascii="Times New Roman"/>
          <w:b w:val="false"/>
          <w:i w:val="false"/>
          <w:color w:val="000000"/>
          <w:sz w:val="28"/>
        </w:rPr>
        <w:t>
      ________________</w:t>
      </w:r>
    </w:p>
    <w:bookmarkEnd w:id="47"/>
    <w:bookmarkStart w:name="z424" w:id="48"/>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(администратора) государства – члена Евразийского экономического союза,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6" w:id="49"/>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0401, 0402, 0403, 0404, 0405, 0406, 2105 00, 2202 99 910 0, 2202 99 950 0 и 2202 99 990 0 ТН ВЭД ЕАЭС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50"/>
          <w:p>
            <w:pPr>
              <w:spacing w:after="20"/>
              <w:ind w:left="20"/>
              <w:jc w:val="both"/>
            </w:pPr>
            <w:r>
              <w:rPr>
                <w:rFonts w:ascii="Times New Roman"/>
                <w:b w:val="false"/>
                <w:i w:val="false"/>
                <w:color w:val="000000"/>
                <w:sz w:val="20"/>
              </w:rPr>
              <w:t>
Полное наименование AI</w:t>
            </w:r>
          </w:p>
          <w:bookmarkEnd w:id="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1"/>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bookmarkEnd w:id="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 xml:space="preserve">18 символов, следующих непосредственно </w:t>
            </w:r>
          </w:p>
          <w:p>
            <w:pPr>
              <w:spacing w:after="20"/>
              <w:ind w:left="20"/>
              <w:jc w:val="both"/>
            </w:pPr>
            <w:r>
              <w:rPr>
                <w:rFonts w:ascii="Times New Roman"/>
                <w:b w:val="false"/>
                <w:i w:val="false"/>
                <w:color w:val="000000"/>
                <w:sz w:val="20"/>
              </w:rPr>
              <w:t>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52"/>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52"/>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3"/>
          <w:p>
            <w:pPr>
              <w:spacing w:after="20"/>
              <w:ind w:left="20"/>
              <w:jc w:val="both"/>
            </w:pPr>
            <w:r>
              <w:rPr>
                <w:rFonts w:ascii="Times New Roman"/>
                <w:b w:val="false"/>
                <w:i w:val="false"/>
                <w:color w:val="000000"/>
                <w:sz w:val="20"/>
              </w:rPr>
              <w:t xml:space="preserve">
GTIN (Global Trade Item Number) – </w:t>
            </w:r>
          </w:p>
          <w:bookmarkEnd w:id="53"/>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w:t>
            </w:r>
          </w:p>
          <w:p>
            <w:pPr>
              <w:spacing w:after="20"/>
              <w:ind w:left="20"/>
              <w:jc w:val="both"/>
            </w:pPr>
            <w:r>
              <w:rPr>
                <w:rFonts w:ascii="Times New Roman"/>
                <w:b w:val="false"/>
                <w:i w:val="false"/>
                <w:color w:val="000000"/>
                <w:sz w:val="20"/>
              </w:rPr>
              <w:t>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4"/>
          <w:p>
            <w:pPr>
              <w:spacing w:after="20"/>
              <w:ind w:left="20"/>
              <w:jc w:val="both"/>
            </w:pPr>
            <w:r>
              <w:rPr>
                <w:rFonts w:ascii="Times New Roman"/>
                <w:b w:val="false"/>
                <w:i w:val="false"/>
                <w:color w:val="000000"/>
                <w:sz w:val="20"/>
              </w:rPr>
              <w:t>
Серийный номер</w:t>
            </w:r>
          </w:p>
          <w:bookmarkEnd w:id="54"/>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5"/>
          <w:p>
            <w:pPr>
              <w:spacing w:after="20"/>
              <w:ind w:left="20"/>
              <w:jc w:val="both"/>
            </w:pPr>
            <w:r>
              <w:rPr>
                <w:rFonts w:ascii="Times New Roman"/>
                <w:b w:val="false"/>
                <w:i w:val="false"/>
                <w:color w:val="000000"/>
                <w:sz w:val="20"/>
              </w:rPr>
              <w:t>
N2+X..6</w:t>
            </w:r>
          </w:p>
          <w:bookmarkEnd w:id="55"/>
          <w:p>
            <w:pPr>
              <w:spacing w:after="20"/>
              <w:ind w:left="20"/>
              <w:jc w:val="both"/>
            </w:pPr>
            <w:r>
              <w:rPr>
                <w:rFonts w:ascii="Times New Roman"/>
                <w:b w:val="false"/>
                <w:i w:val="false"/>
                <w:color w:val="000000"/>
                <w:sz w:val="20"/>
              </w:rPr>
              <w:t>
(N2+X..8)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6"/>
          <w:p>
            <w:pPr>
              <w:spacing w:after="20"/>
              <w:ind w:left="20"/>
              <w:jc w:val="both"/>
            </w:pPr>
            <w:r>
              <w:rPr>
                <w:rFonts w:ascii="Times New Roman"/>
                <w:b w:val="false"/>
                <w:i w:val="false"/>
                <w:color w:val="000000"/>
                <w:sz w:val="20"/>
              </w:rPr>
              <w:t xml:space="preserve">
идентификатор применения AI (21) показывает, что поле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размером 6 или </w:t>
            </w:r>
          </w:p>
          <w:p>
            <w:pPr>
              <w:spacing w:after="20"/>
              <w:ind w:left="20"/>
              <w:jc w:val="both"/>
            </w:pPr>
            <w:r>
              <w:rPr>
                <w:rFonts w:ascii="Times New Roman"/>
                <w:b w:val="false"/>
                <w:i w:val="false"/>
                <w:color w:val="000000"/>
                <w:sz w:val="20"/>
              </w:rPr>
              <w:t xml:space="preserve">8 символов, следующих непосредственно </w:t>
            </w:r>
          </w:p>
          <w:p>
            <w:pPr>
              <w:spacing w:after="20"/>
              <w:ind w:left="20"/>
              <w:jc w:val="both"/>
            </w:pPr>
            <w:r>
              <w:rPr>
                <w:rFonts w:ascii="Times New Roman"/>
                <w:b w:val="false"/>
                <w:i w:val="false"/>
                <w:color w:val="000000"/>
                <w:sz w:val="20"/>
              </w:rPr>
              <w:t>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Пояснение: для целей идентификации товаров используется индивидуальный серийный номер товара, состоящий из 6 или 8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7"/>
          <w:p>
            <w:pPr>
              <w:spacing w:after="20"/>
              <w:ind w:left="20"/>
              <w:jc w:val="both"/>
            </w:pPr>
            <w:r>
              <w:rPr>
                <w:rFonts w:ascii="Times New Roman"/>
                <w:b w:val="false"/>
                <w:i w:val="false"/>
                <w:color w:val="000000"/>
                <w:sz w:val="20"/>
              </w:rPr>
              <w:t xml:space="preserve">
значение кода проверки, создаваемого </w:t>
            </w:r>
          </w:p>
          <w:bookmarkEnd w:id="57"/>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58"/>
          <w:p>
            <w:pPr>
              <w:spacing w:after="20"/>
              <w:ind w:left="20"/>
              <w:jc w:val="both"/>
            </w:pPr>
            <w:r>
              <w:rPr>
                <w:rFonts w:ascii="Times New Roman"/>
                <w:b w:val="false"/>
                <w:i w:val="false"/>
                <w:color w:val="000000"/>
                <w:sz w:val="20"/>
              </w:rPr>
              <w:t xml:space="preserve">
применяется в соответствии </w:t>
            </w:r>
          </w:p>
          <w:bookmarkEnd w:id="58"/>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
Необходимость передачи сведений при трансграничном перемещении товаров определяется в соответствии </w:t>
            </w:r>
          </w:p>
          <w:p>
            <w:pPr>
              <w:spacing w:after="20"/>
              <w:ind w:left="20"/>
              <w:jc w:val="both"/>
            </w:pPr>
            <w:r>
              <w:rPr>
                <w:rFonts w:ascii="Times New Roman"/>
                <w:b w:val="false"/>
                <w:i w:val="false"/>
                <w:color w:val="000000"/>
                <w:sz w:val="20"/>
              </w:rPr>
              <w:t>с законодательством</w:t>
            </w:r>
          </w:p>
          <w:p>
            <w:pPr>
              <w:spacing w:after="20"/>
              <w:ind w:left="20"/>
              <w:jc w:val="both"/>
            </w:pPr>
            <w:r>
              <w:rPr>
                <w:rFonts w:ascii="Times New Roman"/>
                <w:b w:val="false"/>
                <w:i w:val="false"/>
                <w:color w:val="000000"/>
                <w:sz w:val="20"/>
              </w:rPr>
              <w:t xml:space="preserve">государства-члена </w:t>
            </w:r>
          </w:p>
        </w:tc>
      </w:tr>
    </w:tbl>
    <w:bookmarkStart w:name="z437" w:id="59"/>
    <w:p>
      <w:pPr>
        <w:spacing w:after="0"/>
        <w:ind w:left="0"/>
        <w:jc w:val="both"/>
      </w:pPr>
      <w:r>
        <w:rPr>
          <w:rFonts w:ascii="Times New Roman"/>
          <w:b w:val="false"/>
          <w:i w:val="false"/>
          <w:color w:val="000000"/>
          <w:sz w:val="28"/>
        </w:rPr>
        <w:t>
      Таблица 4</w:t>
      </w:r>
    </w:p>
    <w:bookmarkEnd w:id="59"/>
    <w:bookmarkStart w:name="z438" w:id="60"/>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61"/>
          <w:p>
            <w:pPr>
              <w:spacing w:after="20"/>
              <w:ind w:left="20"/>
              <w:jc w:val="both"/>
            </w:pPr>
            <w:r>
              <w:rPr>
                <w:rFonts w:ascii="Times New Roman"/>
                <w:b w:val="false"/>
                <w:i w:val="false"/>
                <w:color w:val="000000"/>
                <w:sz w:val="20"/>
              </w:rPr>
              <w:t>
0401,</w:t>
            </w:r>
          </w:p>
          <w:bookmarkEnd w:id="61"/>
          <w:p>
            <w:pPr>
              <w:spacing w:after="20"/>
              <w:ind w:left="20"/>
              <w:jc w:val="both"/>
            </w:pPr>
            <w:r>
              <w:rPr>
                <w:rFonts w:ascii="Times New Roman"/>
                <w:b w:val="false"/>
                <w:i w:val="false"/>
                <w:color w:val="000000"/>
                <w:sz w:val="20"/>
              </w:rPr>
              <w:t>0402,</w:t>
            </w:r>
          </w:p>
          <w:p>
            <w:pPr>
              <w:spacing w:after="20"/>
              <w:ind w:left="20"/>
              <w:jc w:val="both"/>
            </w:pPr>
            <w:r>
              <w:rPr>
                <w:rFonts w:ascii="Times New Roman"/>
                <w:b w:val="false"/>
                <w:i w:val="false"/>
                <w:color w:val="000000"/>
                <w:sz w:val="20"/>
              </w:rPr>
              <w:t>0403,</w:t>
            </w:r>
          </w:p>
          <w:p>
            <w:pPr>
              <w:spacing w:after="20"/>
              <w:ind w:left="20"/>
              <w:jc w:val="both"/>
            </w:pPr>
            <w:r>
              <w:rPr>
                <w:rFonts w:ascii="Times New Roman"/>
                <w:b w:val="false"/>
                <w:i w:val="false"/>
                <w:color w:val="000000"/>
                <w:sz w:val="20"/>
              </w:rPr>
              <w:t>0404,</w:t>
            </w:r>
          </w:p>
          <w:p>
            <w:pPr>
              <w:spacing w:after="20"/>
              <w:ind w:left="20"/>
              <w:jc w:val="both"/>
            </w:pPr>
            <w:r>
              <w:rPr>
                <w:rFonts w:ascii="Times New Roman"/>
                <w:b w:val="false"/>
                <w:i w:val="false"/>
                <w:color w:val="000000"/>
                <w:sz w:val="20"/>
              </w:rPr>
              <w:t>0405,</w:t>
            </w:r>
          </w:p>
          <w:p>
            <w:pPr>
              <w:spacing w:after="20"/>
              <w:ind w:left="20"/>
              <w:jc w:val="both"/>
            </w:pPr>
            <w:r>
              <w:rPr>
                <w:rFonts w:ascii="Times New Roman"/>
                <w:b w:val="false"/>
                <w:i w:val="false"/>
                <w:color w:val="000000"/>
                <w:sz w:val="20"/>
              </w:rPr>
              <w:t>0406,</w:t>
            </w:r>
          </w:p>
          <w:p>
            <w:pPr>
              <w:spacing w:after="20"/>
              <w:ind w:left="20"/>
              <w:jc w:val="both"/>
            </w:pPr>
            <w:r>
              <w:rPr>
                <w:rFonts w:ascii="Times New Roman"/>
                <w:b w:val="false"/>
                <w:i w:val="false"/>
                <w:color w:val="000000"/>
                <w:sz w:val="20"/>
              </w:rPr>
              <w:t>2105 00,</w:t>
            </w:r>
          </w:p>
          <w:p>
            <w:pPr>
              <w:spacing w:after="20"/>
              <w:ind w:left="20"/>
              <w:jc w:val="both"/>
            </w:pPr>
            <w:r>
              <w:rPr>
                <w:rFonts w:ascii="Times New Roman"/>
                <w:b w:val="false"/>
                <w:i w:val="false"/>
                <w:color w:val="000000"/>
                <w:sz w:val="20"/>
              </w:rPr>
              <w:t>2202 99 910 0,</w:t>
            </w:r>
          </w:p>
          <w:p>
            <w:pPr>
              <w:spacing w:after="20"/>
              <w:ind w:left="20"/>
              <w:jc w:val="both"/>
            </w:pPr>
            <w:r>
              <w:rPr>
                <w:rFonts w:ascii="Times New Roman"/>
                <w:b w:val="false"/>
                <w:i w:val="false"/>
                <w:color w:val="000000"/>
                <w:sz w:val="20"/>
              </w:rPr>
              <w:t>2202 99 950 0,</w:t>
            </w:r>
          </w:p>
          <w:p>
            <w:pPr>
              <w:spacing w:after="20"/>
              <w:ind w:left="20"/>
              <w:jc w:val="both"/>
            </w:pPr>
            <w:r>
              <w:rPr>
                <w:rFonts w:ascii="Times New Roman"/>
                <w:b w:val="false"/>
                <w:i w:val="false"/>
                <w:color w:val="000000"/>
                <w:sz w:val="20"/>
              </w:rPr>
              <w:t>2202 99 990 0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2"/>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 значение реквизита "Идентификатор применения (AI)": "93";</w:t>
            </w:r>
          </w:p>
          <w:p>
            <w:pPr>
              <w:spacing w:after="20"/>
              <w:ind w:left="20"/>
              <w:jc w:val="both"/>
            </w:pPr>
            <w:r>
              <w:rPr>
                <w:rFonts w:ascii="Times New Roman"/>
                <w:b w:val="false"/>
                <w:i w:val="false"/>
                <w:color w:val="000000"/>
                <w:sz w:val="20"/>
              </w:rPr>
              <w:t xml:space="preserve">
значение реквизита "Символьное значение блока информации": код проверки (применяется </w:t>
            </w:r>
          </w:p>
          <w:p>
            <w:pPr>
              <w:spacing w:after="20"/>
              <w:ind w:left="20"/>
              <w:jc w:val="both"/>
            </w:pPr>
            <w:r>
              <w:rPr>
                <w:rFonts w:ascii="Times New Roman"/>
                <w:b w:val="false"/>
                <w:i w:val="false"/>
                <w:color w:val="000000"/>
                <w:sz w:val="20"/>
              </w:rPr>
              <w:t>в соответствии с законодательством государства-члена)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3"/>
          <w:p>
            <w:pPr>
              <w:spacing w:after="20"/>
              <w:ind w:left="20"/>
              <w:jc w:val="both"/>
            </w:pPr>
            <w:r>
              <w:rPr>
                <w:rFonts w:ascii="Times New Roman"/>
                <w:b w:val="false"/>
                <w:i w:val="false"/>
                <w:color w:val="000000"/>
                <w:sz w:val="20"/>
              </w:rPr>
              <w:t>
0401,</w:t>
            </w:r>
          </w:p>
          <w:bookmarkEnd w:id="63"/>
          <w:p>
            <w:pPr>
              <w:spacing w:after="20"/>
              <w:ind w:left="20"/>
              <w:jc w:val="both"/>
            </w:pPr>
            <w:r>
              <w:rPr>
                <w:rFonts w:ascii="Times New Roman"/>
                <w:b w:val="false"/>
                <w:i w:val="false"/>
                <w:color w:val="000000"/>
                <w:sz w:val="20"/>
              </w:rPr>
              <w:t>0402,</w:t>
            </w:r>
          </w:p>
          <w:p>
            <w:pPr>
              <w:spacing w:after="20"/>
              <w:ind w:left="20"/>
              <w:jc w:val="both"/>
            </w:pPr>
            <w:r>
              <w:rPr>
                <w:rFonts w:ascii="Times New Roman"/>
                <w:b w:val="false"/>
                <w:i w:val="false"/>
                <w:color w:val="000000"/>
                <w:sz w:val="20"/>
              </w:rPr>
              <w:t>0403,</w:t>
            </w:r>
          </w:p>
          <w:p>
            <w:pPr>
              <w:spacing w:after="20"/>
              <w:ind w:left="20"/>
              <w:jc w:val="both"/>
            </w:pPr>
            <w:r>
              <w:rPr>
                <w:rFonts w:ascii="Times New Roman"/>
                <w:b w:val="false"/>
                <w:i w:val="false"/>
                <w:color w:val="000000"/>
                <w:sz w:val="20"/>
              </w:rPr>
              <w:t>0404,</w:t>
            </w:r>
          </w:p>
          <w:p>
            <w:pPr>
              <w:spacing w:after="20"/>
              <w:ind w:left="20"/>
              <w:jc w:val="both"/>
            </w:pPr>
            <w:r>
              <w:rPr>
                <w:rFonts w:ascii="Times New Roman"/>
                <w:b w:val="false"/>
                <w:i w:val="false"/>
                <w:color w:val="000000"/>
                <w:sz w:val="20"/>
              </w:rPr>
              <w:t>0405,</w:t>
            </w:r>
          </w:p>
          <w:p>
            <w:pPr>
              <w:spacing w:after="20"/>
              <w:ind w:left="20"/>
              <w:jc w:val="both"/>
            </w:pPr>
            <w:r>
              <w:rPr>
                <w:rFonts w:ascii="Times New Roman"/>
                <w:b w:val="false"/>
                <w:i w:val="false"/>
                <w:color w:val="000000"/>
                <w:sz w:val="20"/>
              </w:rPr>
              <w:t>0406,</w:t>
            </w:r>
          </w:p>
          <w:p>
            <w:pPr>
              <w:spacing w:after="20"/>
              <w:ind w:left="20"/>
              <w:jc w:val="both"/>
            </w:pPr>
            <w:r>
              <w:rPr>
                <w:rFonts w:ascii="Times New Roman"/>
                <w:b w:val="false"/>
                <w:i w:val="false"/>
                <w:color w:val="000000"/>
                <w:sz w:val="20"/>
              </w:rPr>
              <w:t>2105 00,</w:t>
            </w:r>
          </w:p>
          <w:p>
            <w:pPr>
              <w:spacing w:after="20"/>
              <w:ind w:left="20"/>
              <w:jc w:val="both"/>
            </w:pPr>
            <w:r>
              <w:rPr>
                <w:rFonts w:ascii="Times New Roman"/>
                <w:b w:val="false"/>
                <w:i w:val="false"/>
                <w:color w:val="000000"/>
                <w:sz w:val="20"/>
              </w:rPr>
              <w:t>2202 99 910 0,</w:t>
            </w:r>
          </w:p>
          <w:p>
            <w:pPr>
              <w:spacing w:after="20"/>
              <w:ind w:left="20"/>
              <w:jc w:val="both"/>
            </w:pPr>
            <w:r>
              <w:rPr>
                <w:rFonts w:ascii="Times New Roman"/>
                <w:b w:val="false"/>
                <w:i w:val="false"/>
                <w:color w:val="000000"/>
                <w:sz w:val="20"/>
              </w:rPr>
              <w:t>2202 99 950 0,</w:t>
            </w:r>
          </w:p>
          <w:p>
            <w:pPr>
              <w:spacing w:after="20"/>
              <w:ind w:left="20"/>
              <w:jc w:val="both"/>
            </w:pPr>
            <w:r>
              <w:rPr>
                <w:rFonts w:ascii="Times New Roman"/>
                <w:b w:val="false"/>
                <w:i w:val="false"/>
                <w:color w:val="000000"/>
                <w:sz w:val="20"/>
              </w:rPr>
              <w:t>2202 99 990 0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64"/>
          <w:p>
            <w:pPr>
              <w:spacing w:after="20"/>
              <w:ind w:left="20"/>
              <w:jc w:val="both"/>
            </w:pPr>
            <w:r>
              <w:rPr>
                <w:rFonts w:ascii="Times New Roman"/>
                <w:b w:val="false"/>
                <w:i w:val="false"/>
                <w:color w:val="000000"/>
                <w:sz w:val="20"/>
              </w:rPr>
              <w:t>
101</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6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"Символьное значение блока информации": реквизит должен содержать </w:t>
            </w:r>
          </w:p>
          <w:p>
            <w:pPr>
              <w:spacing w:after="20"/>
              <w:ind w:left="20"/>
              <w:jc w:val="both"/>
            </w:pPr>
            <w:r>
              <w:rPr>
                <w:rFonts w:ascii="Times New Roman"/>
                <w:b w:val="false"/>
                <w:i w:val="false"/>
                <w:color w:val="000000"/>
                <w:sz w:val="20"/>
              </w:rPr>
              <w:t>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декабря 2020 г. № 129</w:t>
            </w:r>
          </w:p>
        </w:tc>
      </w:tr>
    </w:tbl>
    <w:bookmarkStart w:name="z141" w:id="66"/>
    <w:p>
      <w:pPr>
        <w:spacing w:after="0"/>
        <w:ind w:left="0"/>
        <w:jc w:val="left"/>
      </w:pPr>
      <w:r>
        <w:rPr>
          <w:rFonts w:ascii="Times New Roman"/>
          <w:b/>
          <w:i w:val="false"/>
          <w:color w:val="000000"/>
        </w:rPr>
        <w:t xml:space="preserve"> Минимальный состав сведений</w:t>
      </w:r>
      <w:r>
        <w:br/>
      </w:r>
      <w:r>
        <w:rPr>
          <w:rFonts w:ascii="Times New Roman"/>
          <w:b/>
          <w:i w:val="false"/>
          <w:color w:val="000000"/>
        </w:rPr>
        <w:t>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66"/>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42" w:id="67"/>
    <w:p>
      <w:pPr>
        <w:spacing w:after="0"/>
        <w:ind w:left="0"/>
        <w:jc w:val="both"/>
      </w:pPr>
      <w:r>
        <w:rPr>
          <w:rFonts w:ascii="Times New Roman"/>
          <w:b w:val="false"/>
          <w:i w:val="false"/>
          <w:color w:val="000000"/>
          <w:sz w:val="28"/>
        </w:rPr>
        <w:t>
      1. Глобальный номер торговой единицы (Global Trade Item Number (GTIN)).</w:t>
      </w:r>
    </w:p>
    <w:bookmarkEnd w:id="67"/>
    <w:bookmarkStart w:name="z143" w:id="68"/>
    <w:p>
      <w:pPr>
        <w:spacing w:after="0"/>
        <w:ind w:left="0"/>
        <w:jc w:val="both"/>
      </w:pPr>
      <w:r>
        <w:rPr>
          <w:rFonts w:ascii="Times New Roman"/>
          <w:b w:val="false"/>
          <w:i w:val="false"/>
          <w:color w:val="000000"/>
          <w:sz w:val="28"/>
        </w:rPr>
        <w:t>
      2. Индивидуальный серийный номер единицы товара (SN).</w:t>
      </w:r>
    </w:p>
    <w:bookmarkEnd w:id="68"/>
    <w:bookmarkStart w:name="z144" w:id="69"/>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69"/>
    <w:bookmarkStart w:name="z145" w:id="70"/>
    <w:p>
      <w:pPr>
        <w:spacing w:after="0"/>
        <w:ind w:left="0"/>
        <w:jc w:val="both"/>
      </w:pPr>
      <w:r>
        <w:rPr>
          <w:rFonts w:ascii="Times New Roman"/>
          <w:b w:val="false"/>
          <w:i w:val="false"/>
          <w:color w:val="000000"/>
          <w:sz w:val="28"/>
        </w:rPr>
        <w:t>
      4. Наименование товара на этикетке.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6" w:id="71"/>
    <w:p>
      <w:pPr>
        <w:spacing w:after="0"/>
        <w:ind w:left="0"/>
        <w:jc w:val="both"/>
      </w:pPr>
      <w:r>
        <w:rPr>
          <w:rFonts w:ascii="Times New Roman"/>
          <w:b w:val="false"/>
          <w:i w:val="false"/>
          <w:color w:val="000000"/>
          <w:sz w:val="28"/>
        </w:rPr>
        <w:t>
      5. Сведения о товаре:</w:t>
      </w:r>
    </w:p>
    <w:bookmarkEnd w:id="71"/>
    <w:bookmarkStart w:name="z147" w:id="72"/>
    <w:p>
      <w:pPr>
        <w:spacing w:after="0"/>
        <w:ind w:left="0"/>
        <w:jc w:val="both"/>
      </w:pPr>
      <w:r>
        <w:rPr>
          <w:rFonts w:ascii="Times New Roman"/>
          <w:b w:val="false"/>
          <w:i w:val="false"/>
          <w:color w:val="000000"/>
          <w:sz w:val="28"/>
        </w:rPr>
        <w:t>
      функциональное наименование товара (вид товара);</w:t>
      </w:r>
    </w:p>
    <w:bookmarkEnd w:id="72"/>
    <w:bookmarkStart w:name="z148" w:id="73"/>
    <w:p>
      <w:pPr>
        <w:spacing w:after="0"/>
        <w:ind w:left="0"/>
        <w:jc w:val="both"/>
      </w:pPr>
      <w:r>
        <w:rPr>
          <w:rFonts w:ascii="Times New Roman"/>
          <w:b w:val="false"/>
          <w:i w:val="false"/>
          <w:color w:val="000000"/>
          <w:sz w:val="28"/>
        </w:rPr>
        <w:t>
      товарный знак (бренд);</w:t>
      </w:r>
    </w:p>
    <w:bookmarkEnd w:id="73"/>
    <w:bookmarkStart w:name="z149" w:id="74"/>
    <w:p>
      <w:pPr>
        <w:spacing w:after="0"/>
        <w:ind w:left="0"/>
        <w:jc w:val="both"/>
      </w:pPr>
      <w:r>
        <w:rPr>
          <w:rFonts w:ascii="Times New Roman"/>
          <w:b w:val="false"/>
          <w:i w:val="false"/>
          <w:color w:val="000000"/>
          <w:sz w:val="28"/>
        </w:rPr>
        <w:t>
      происхождение сырья (вид сельскохозяйственных животных);</w:t>
      </w:r>
    </w:p>
    <w:bookmarkEnd w:id="74"/>
    <w:bookmarkStart w:name="z150" w:id="75"/>
    <w:p>
      <w:pPr>
        <w:spacing w:after="0"/>
        <w:ind w:left="0"/>
        <w:jc w:val="both"/>
      </w:pPr>
      <w:r>
        <w:rPr>
          <w:rFonts w:ascii="Times New Roman"/>
          <w:b w:val="false"/>
          <w:i w:val="false"/>
          <w:color w:val="000000"/>
          <w:sz w:val="28"/>
        </w:rPr>
        <w:t>
      массовая доля жира (в процентах);</w:t>
      </w:r>
    </w:p>
    <w:bookmarkEnd w:id="75"/>
    <w:bookmarkStart w:name="z151" w:id="76"/>
    <w:p>
      <w:pPr>
        <w:spacing w:after="0"/>
        <w:ind w:left="0"/>
        <w:jc w:val="both"/>
      </w:pPr>
      <w:r>
        <w:rPr>
          <w:rFonts w:ascii="Times New Roman"/>
          <w:b w:val="false"/>
          <w:i w:val="false"/>
          <w:color w:val="000000"/>
          <w:sz w:val="28"/>
        </w:rPr>
        <w:t>
      массовая доля белка (в процентах) (в случае, если товар подлежит ветеринарному контролю)*;</w:t>
      </w:r>
    </w:p>
    <w:bookmarkEnd w:id="76"/>
    <w:bookmarkStart w:name="z152" w:id="77"/>
    <w:p>
      <w:pPr>
        <w:spacing w:after="0"/>
        <w:ind w:left="0"/>
        <w:jc w:val="both"/>
      </w:pPr>
      <w:r>
        <w:rPr>
          <w:rFonts w:ascii="Times New Roman"/>
          <w:b w:val="false"/>
          <w:i w:val="false"/>
          <w:color w:val="000000"/>
          <w:sz w:val="28"/>
        </w:rPr>
        <w:t>
      масса нетто или объем молочной продукции;</w:t>
      </w:r>
    </w:p>
    <w:bookmarkEnd w:id="77"/>
    <w:bookmarkStart w:name="z153" w:id="78"/>
    <w:p>
      <w:pPr>
        <w:spacing w:after="0"/>
        <w:ind w:left="0"/>
        <w:jc w:val="both"/>
      </w:pPr>
      <w:r>
        <w:rPr>
          <w:rFonts w:ascii="Times New Roman"/>
          <w:b w:val="false"/>
          <w:i w:val="false"/>
          <w:color w:val="000000"/>
          <w:sz w:val="28"/>
        </w:rPr>
        <w:t>
      состав молочной продукции с указанием входящих в него компонентов (качественный);</w:t>
      </w:r>
    </w:p>
    <w:bookmarkEnd w:id="78"/>
    <w:bookmarkStart w:name="z154" w:id="79"/>
    <w:p>
      <w:pPr>
        <w:spacing w:after="0"/>
        <w:ind w:left="0"/>
        <w:jc w:val="both"/>
      </w:pPr>
      <w:r>
        <w:rPr>
          <w:rFonts w:ascii="Times New Roman"/>
          <w:b w:val="false"/>
          <w:i w:val="false"/>
          <w:color w:val="000000"/>
          <w:sz w:val="28"/>
        </w:rPr>
        <w:t>
      тип упаковки;</w:t>
      </w:r>
    </w:p>
    <w:bookmarkEnd w:id="79"/>
    <w:bookmarkStart w:name="z155" w:id="80"/>
    <w:p>
      <w:pPr>
        <w:spacing w:after="0"/>
        <w:ind w:left="0"/>
        <w:jc w:val="both"/>
      </w:pPr>
      <w:r>
        <w:rPr>
          <w:rFonts w:ascii="Times New Roman"/>
          <w:b w:val="false"/>
          <w:i w:val="false"/>
          <w:color w:val="000000"/>
          <w:sz w:val="28"/>
        </w:rPr>
        <w:t>
      материал упаковки;</w:t>
      </w:r>
    </w:p>
    <w:bookmarkEnd w:id="80"/>
    <w:bookmarkStart w:name="z156" w:id="81"/>
    <w:p>
      <w:pPr>
        <w:spacing w:after="0"/>
        <w:ind w:left="0"/>
        <w:jc w:val="both"/>
      </w:pPr>
      <w:r>
        <w:rPr>
          <w:rFonts w:ascii="Times New Roman"/>
          <w:b w:val="false"/>
          <w:i w:val="false"/>
          <w:color w:val="000000"/>
          <w:sz w:val="28"/>
        </w:rPr>
        <w:t>
      признак подконтрольности товара ветеринарному надзору;</w:t>
      </w:r>
    </w:p>
    <w:bookmarkEnd w:id="81"/>
    <w:bookmarkStart w:name="z157" w:id="82"/>
    <w:p>
      <w:pPr>
        <w:spacing w:after="0"/>
        <w:ind w:left="0"/>
        <w:jc w:val="both"/>
      </w:pPr>
      <w:r>
        <w:rPr>
          <w:rFonts w:ascii="Times New Roman"/>
          <w:b w:val="false"/>
          <w:i w:val="false"/>
          <w:color w:val="000000"/>
          <w:sz w:val="28"/>
        </w:rPr>
        <w:t>
      признак лечебного или иного специализированного питания на молочной основе;</w:t>
      </w:r>
    </w:p>
    <w:bookmarkEnd w:id="82"/>
    <w:bookmarkStart w:name="z158" w:id="83"/>
    <w:p>
      <w:pPr>
        <w:spacing w:after="0"/>
        <w:ind w:left="0"/>
        <w:jc w:val="both"/>
      </w:pPr>
      <w:r>
        <w:rPr>
          <w:rFonts w:ascii="Times New Roman"/>
          <w:b w:val="false"/>
          <w:i w:val="false"/>
          <w:color w:val="000000"/>
          <w:sz w:val="28"/>
        </w:rPr>
        <w:t>
      признак продукции детского питания на молочной основе;</w:t>
      </w:r>
    </w:p>
    <w:bookmarkEnd w:id="83"/>
    <w:bookmarkStart w:name="z159" w:id="84"/>
    <w:p>
      <w:pPr>
        <w:spacing w:after="0"/>
        <w:ind w:left="0"/>
        <w:jc w:val="both"/>
      </w:pPr>
      <w:r>
        <w:rPr>
          <w:rFonts w:ascii="Times New Roman"/>
          <w:b w:val="false"/>
          <w:i w:val="false"/>
          <w:color w:val="000000"/>
          <w:sz w:val="28"/>
        </w:rPr>
        <w:t>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государства – члена Евразийского экономического союза (вид документа, номер документа, дата выдачи документа);</w:t>
      </w:r>
    </w:p>
    <w:bookmarkEnd w:id="84"/>
    <w:bookmarkStart w:name="z455" w:id="85"/>
    <w:p>
      <w:pPr>
        <w:spacing w:after="0"/>
        <w:ind w:left="0"/>
        <w:jc w:val="both"/>
      </w:pPr>
      <w:r>
        <w:rPr>
          <w:rFonts w:ascii="Times New Roman"/>
          <w:b w:val="false"/>
          <w:i w:val="false"/>
          <w:color w:val="000000"/>
          <w:sz w:val="28"/>
        </w:rPr>
        <w:t>
      срок годности и условия хранения (при наличии);</w:t>
      </w:r>
    </w:p>
    <w:bookmarkEnd w:id="85"/>
    <w:bookmarkStart w:name="z456" w:id="86"/>
    <w:p>
      <w:pPr>
        <w:spacing w:after="0"/>
        <w:ind w:left="0"/>
        <w:jc w:val="both"/>
      </w:pPr>
      <w:r>
        <w:rPr>
          <w:rFonts w:ascii="Times New Roman"/>
          <w:b w:val="false"/>
          <w:i w:val="false"/>
          <w:color w:val="000000"/>
          <w:sz w:val="28"/>
        </w:rPr>
        <w:t>
      дата производства;</w:t>
      </w:r>
    </w:p>
    <w:bookmarkEnd w:id="86"/>
    <w:bookmarkStart w:name="z457" w:id="87"/>
    <w:p>
      <w:pPr>
        <w:spacing w:after="0"/>
        <w:ind w:left="0"/>
        <w:jc w:val="both"/>
      </w:pPr>
      <w:r>
        <w:rPr>
          <w:rFonts w:ascii="Times New Roman"/>
          <w:b w:val="false"/>
          <w:i w:val="false"/>
          <w:color w:val="000000"/>
          <w:sz w:val="28"/>
        </w:rPr>
        <w:t>
      дата истечения срока годности.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61" w:id="88"/>
    <w:p>
      <w:pPr>
        <w:spacing w:after="0"/>
        <w:ind w:left="0"/>
        <w:jc w:val="both"/>
      </w:pPr>
      <w:r>
        <w:rPr>
          <w:rFonts w:ascii="Times New Roman"/>
          <w:b w:val="false"/>
          <w:i w:val="false"/>
          <w:color w:val="000000"/>
          <w:sz w:val="28"/>
        </w:rPr>
        <w:t>
      6. Страна происхождения товара.</w:t>
      </w:r>
    </w:p>
    <w:bookmarkEnd w:id="88"/>
    <w:bookmarkStart w:name="z162" w:id="89"/>
    <w:p>
      <w:pPr>
        <w:spacing w:after="0"/>
        <w:ind w:left="0"/>
        <w:jc w:val="both"/>
      </w:pPr>
      <w:r>
        <w:rPr>
          <w:rFonts w:ascii="Times New Roman"/>
          <w:b w:val="false"/>
          <w:i w:val="false"/>
          <w:color w:val="000000"/>
          <w:sz w:val="28"/>
        </w:rPr>
        <w:t>
      7.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63" w:id="90"/>
    <w:p>
      <w:pPr>
        <w:spacing w:after="0"/>
        <w:ind w:left="0"/>
        <w:jc w:val="both"/>
      </w:pPr>
      <w:r>
        <w:rPr>
          <w:rFonts w:ascii="Times New Roman"/>
          <w:b w:val="false"/>
          <w:i w:val="false"/>
          <w:color w:val="000000"/>
          <w:sz w:val="28"/>
        </w:rPr>
        <w:t>
      8.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