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4b9e" w14:textId="ce94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совершенствовании механизма подписания актов Совета Евразийской экономической комиссии, принятых в ходе заседаний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февраля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(подписан в г. Астане 29 мая 2014 г.) 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 (утвержден Решением Высшего Евразийского экономического совета от 23 декабря 2014 г. № 98), определяющих порядок принятия решений Евразийской экономической комиссии.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– на постоянной основе.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(далее – Комиссия) совместно с заинтересованными правительствами государств – членов Евразийского экономического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проработать вопрос наделения полномочиями и статуса представителя государства-члена Союза в Совете Комиссии в части подписания актов Совета на заседании Совета и, при необходимости, внести изменения в соответствующие национальные нормативные правовые акты;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предложения по совершенствованию механизмов подписания актов Евразийского экономического совета, принятых в ходе заседаний, в части обязательного определения в программе проведения заседания Совета Комиссии процедуры подписания итоговых документов, а также ответственности Комиссии.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– до 1 апреля 2020 года.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доложить на очередном заседании Евразийского межправительственного совета о ходе исполнения поручений, указанных в пункте 1 и 2 настоящего распоряжения.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принятия.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