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4b9e" w14:textId="ce94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механизма подписания актов Совета Евразийской экономической комиссии, принятых в ходе заседаний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февраля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(подписан в г. Астане 29 мая 2014 г.) 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 (утвержден Решением Высшего Евразийского экономического совета от 23 декабря 2014 г. № 98), определяющих порядок принятия решений Евразийской экономической комиссии.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– на постоянной основе.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(далее – Комиссия) совместно с заинтересованными правительствами государств – членов Евразийского экономического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проработать вопрос наделения полномочиями и статуса представителя государства-члена Союза в Совете Комиссии в части подписания актов Совета на заседании Совета и, при необходимости, внести изменения в соответствующие национальные нормативные правовые акты;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предложения по совершенствованию механизмов подписания актов Евразийского экономического совета, принятых в ходе заседаний, в части обязательного определения в программе проведения заседания Совета Комиссии процедуры подписания итоговых документов, а также ответственности Комиссии.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– до 1 апреля 2020 года.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доложить на очередном заседании Евразийского межправительственного совета о ходе исполнения поручений, указанных в пункте 1 и 2 настоящего распоряжения.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принятия.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