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dfb" w14:textId="d538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 в отношении отдельных видов турбовинтовых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июля 2020 года № 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подпункт 7.1.20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слова "кодами 8802 30 000 7 и 8802 40 001 6" заменить словами "кодом 8802 30 000 7";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абзацами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"Турбовинтовые гражданские пассажирские самолеты, классифицируемые кодом 8802 40 001 6 ТН ВЭД ЕАЭС, с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не более чем на 90 человек, ввозимые: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Республику Казахстан и Кыргызскую Республику – с 1 января 2018 г. по 31 декабря 2022 г. включительно;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Республику Армения, в Республику Беларусь и в Российскую Федерацию – с даты вступления в силу Решения Совета Евразийской экономической комиссии от 10 июля 2020 г. № 97 по 31 декабря 2022 г. включительно;".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Сроки ввоза турбовинтовых гражданских пассажирских самолетов, указанные в абзацах третьем и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7.1.20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союза", по решению Совета Евразийской экономической комиссии продлеваются в случае поступления в Евразийскую экономическую комиссию информации о неготовности к экспортным поставкам турбовинтовых гражданских пассажирских самолетов,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7.1.20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указанного Решения Комиссии Таможенного союза, производимых в Российской Федерации.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