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df48" w14:textId="560d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исследований биоэквивалентности лекарственных препаратов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04 сентября 2020 года № 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утвержденные Решением Совета Евразийской экономической комиссии от 3 ноября 2016 г. № 85,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 Асрандиев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4 сентября 2020 г. № 67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проведения исследований биоэквивалентности лекарственных препаратов в рамках Евразийского экономического союза</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указанных Правил изложить в следующей редакции: "При подтверждении биоэквивалентности лекарственных препаратов, которые выпускаются в лекарственных формах с модифицированным высвобождением, трансдермальных лекарственных формах и ингаляционных лекарственных формах, а также лекарственных формах для местного применения и липосомальных лекарственных формах исследования следует проводить в соответствии с требованиями приложений № 9 и 10, а также с актами, входящими в право Евразийского экономического союза (далее – Союз) в сфере обращения лекарственных средств.".</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 8</w:t>
      </w:r>
      <w:r>
        <w:rPr>
          <w:rFonts w:ascii="Times New Roman"/>
          <w:b w:val="false"/>
          <w:i w:val="false"/>
          <w:color w:val="000000"/>
          <w:sz w:val="28"/>
        </w:rPr>
        <w:t xml:space="preserve"> к указанным Правилам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от 4 сентября 2020 г. № 67)</w:t>
            </w:r>
          </w:p>
        </w:tc>
      </w:tr>
    </w:tbl>
    <w:bookmarkStart w:name="z13" w:id="6"/>
    <w:p>
      <w:pPr>
        <w:spacing w:after="0"/>
        <w:ind w:left="0"/>
        <w:jc w:val="left"/>
      </w:pPr>
      <w:r>
        <w:rPr>
          <w:rFonts w:ascii="Times New Roman"/>
          <w:b/>
          <w:i w:val="false"/>
          <w:color w:val="000000"/>
        </w:rPr>
        <w:t xml:space="preserve"> УСЛОВНЫЕ ОБОЗНАЧЕНИЯ</w:t>
      </w:r>
      <w:r>
        <w:br/>
      </w:r>
      <w:r>
        <w:rPr>
          <w:rFonts w:ascii="Times New Roman"/>
          <w:b/>
          <w:i w:val="false"/>
          <w:color w:val="000000"/>
        </w:rPr>
        <w:t>ФАРМАКОКИНЕТИЧЕСКИХ ПАРАМЕТРОВ</w:t>
      </w:r>
    </w:p>
    <w:bookmarkEnd w:id="6"/>
    <w:tbl>
      <w:tblPr>
        <w:tblW w:w="0" w:type="auto"/>
        <w:tblCellSpacing w:w="0" w:type="auto"/>
        <w:tblBorders>
          <w:top w:val="none"/>
          <w:left w:val="none"/>
          <w:bottom w:val="none"/>
          <w:right w:val="none"/>
          <w:insideH w:val="none"/>
          <w:insideV w:val="none"/>
        </w:tblBorders>
      </w:tblPr>
      <w:tblGrid>
        <w:gridCol w:w="4267"/>
        <w:gridCol w:w="554"/>
        <w:gridCol w:w="7479"/>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r>
              <w:rPr>
                <w:rFonts w:ascii="Times New Roman"/>
                <w:b w:val="false"/>
                <w:i w:val="false"/>
                <w:color w:val="000000"/>
                <w:vertAlign w:val="subscript"/>
              </w:rPr>
              <w:t>(0–t)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неизмененного действующего вещества в моче, собранной от момента приема лекарственного препарата до времени t</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(0–72</w:t>
            </w:r>
            <w:r>
              <w:rPr>
                <w:rFonts w:ascii="Times New Roman"/>
                <w:b w:val="false"/>
                <w:i w:val="false"/>
                <w:color w:val="000000"/>
                <w:vertAlign w:val="subscript"/>
              </w:rPr>
              <w:t xml:space="preserve"> </w:t>
            </w:r>
            <w:r>
              <w:rPr>
                <w:rFonts w:ascii="Times New Roman"/>
                <w:b w:val="false"/>
                <w:i w:val="false"/>
                <w:color w:val="000000"/>
                <w:vertAlign w:val="subscript"/>
              </w:rPr>
              <w:t>ч)</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72 ч</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w:t>
            </w:r>
            <w:r>
              <w:rPr>
                <w:rFonts w:ascii="Times New Roman"/>
                <w:b w:val="false"/>
                <w:i w:val="false"/>
                <w:color w:val="000000"/>
                <w:vertAlign w:val="subscript"/>
              </w:rPr>
              <w: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бесконечности</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последней определяемой концентрации во временной точке t</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равновесная площадь под кривой в интервале дозирования</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в течение интервала дозирования в равновесном состоянии</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(экстраполируемая) площадь под кривой, определяемая по формуле </w:t>
            </w:r>
          </w:p>
          <w:p>
            <w:pPr>
              <w:spacing w:after="20"/>
              <w:ind w:left="20"/>
              <w:jc w:val="both"/>
            </w:pPr>
            <w:r>
              <w:drawing>
                <wp:inline distT="0" distB="0" distL="0" distR="0">
                  <wp:extent cx="1892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AUC, отделенная заранее выбранными точками отсечения </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AUC многофазных препаратов в фазу </w:t>
            </w:r>
            <w:r>
              <w:rPr>
                <w:rFonts w:ascii="Times New Roman"/>
                <w:b w:val="false"/>
                <w:i/>
                <w:color w:val="000000"/>
                <w:sz w:val="20"/>
              </w:rPr>
              <w:t>х</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эффекта</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плазменная концентрация</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max,ss</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равновесная максимальная плазменная </w:t>
            </w:r>
            <w:r>
              <w:br/>
            </w:r>
            <w:r>
              <w:rPr>
                <w:rFonts w:ascii="Times New Roman"/>
                <w:b w:val="false"/>
                <w:i w:val="false"/>
                <w:color w:val="000000"/>
                <w:sz w:val="20"/>
              </w:rPr>
              <w:t>
концентрация</w:t>
            </w:r>
          </w:p>
          <w:bookmarkEnd w:id="7"/>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плазменная концентрация в равновесном состоянии</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конце интервала дозирования</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конце интервала дозирования в равновесном состоянии</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равная примерно 0,5 × ED</w:t>
            </w:r>
            <w:r>
              <w:rPr>
                <w:rFonts w:ascii="Times New Roman"/>
                <w:b w:val="false"/>
                <w:i w:val="false"/>
                <w:color w:val="000000"/>
                <w:vertAlign w:val="subscript"/>
              </w:rPr>
              <w:t>50</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воздействия дозы, равная примерно </w:t>
            </w:r>
            <w:r>
              <w:br/>
            </w:r>
            <w:r>
              <w:rPr>
                <w:rFonts w:ascii="Times New Roman"/>
                <w:b w:val="false"/>
                <w:i w:val="false"/>
                <w:color w:val="000000"/>
                <w:sz w:val="20"/>
              </w:rPr>
              <w:t>2 × ED</w:t>
            </w:r>
            <w:r>
              <w:rPr>
                <w:rFonts w:ascii="Times New Roman"/>
                <w:b w:val="false"/>
                <w:i w:val="false"/>
                <w:color w:val="000000"/>
                <w:vertAlign w:val="subscript"/>
              </w:rPr>
              <w:t>50</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0</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эффект</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max</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эффект</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w:t>
            </w:r>
            <w:r>
              <w:rPr>
                <w:rFonts w:ascii="Times New Roman"/>
                <w:b w:val="false"/>
                <w:i w:val="false"/>
                <w:color w:val="000000"/>
                <w:vertAlign w:val="subscript"/>
              </w:rPr>
              <w:t>50</w:t>
            </w:r>
            <w:r>
              <w:rPr>
                <w:rFonts w:ascii="Times New Roman"/>
                <w:b w:val="false"/>
                <w:i w:val="false"/>
                <w:color w:val="000000"/>
                <w:vertAlign w:val="subscript"/>
              </w:rPr>
              <w:t xml:space="preserve"> </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воздействия дозы, при применении которой эффект составляет половину от максимального </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el</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константа скорости терминальной элиминации</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max</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выведения с мочой</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1/2</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полувыведения из плазмы</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достижения C</w:t>
            </w:r>
            <w:r>
              <w:rPr>
                <w:rFonts w:ascii="Times New Roman"/>
                <w:b w:val="false"/>
                <w:i w:val="false"/>
                <w:color w:val="000000"/>
                <w:vertAlign w:val="subscript"/>
              </w:rPr>
              <w:t>max</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max,ss</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достижения C</w:t>
            </w:r>
            <w:r>
              <w:rPr>
                <w:rFonts w:ascii="Times New Roman"/>
                <w:b w:val="false"/>
                <w:i w:val="false"/>
                <w:color w:val="000000"/>
                <w:vertAlign w:val="subscript"/>
              </w:rPr>
              <w:t>max,ss</w:t>
            </w:r>
          </w:p>
        </w:tc>
      </w:tr>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lag</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латентный период</w:t>
            </w:r>
          </w:p>
        </w:tc>
      </w:tr>
      <w:tr>
        <w:trPr>
          <w:trHeight w:val="30" w:hRule="atLeast"/>
        </w:trPr>
        <w:tc>
          <w:tcPr>
            <w:tcW w:w="4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дисперсия</w:t>
            </w:r>
          </w:p>
        </w:tc>
      </w:tr>
      <w:tr>
        <w:trPr>
          <w:trHeight w:val="30" w:hRule="atLeast"/>
        </w:trPr>
        <w:tc>
          <w:tcPr>
            <w:tcW w:w="4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ковариация</w:t>
            </w:r>
          </w:p>
        </w:tc>
      </w:tr>
      <w:tr>
        <w:trPr>
          <w:trHeight w:val="30" w:hRule="atLeast"/>
        </w:trPr>
        <w:tc>
          <w:tcPr>
            <w:tcW w:w="42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среднее".</w:t>
            </w:r>
          </w:p>
        </w:tc>
      </w:tr>
    </w:tbl>
    <w:bookmarkStart w:name="z15" w:id="8"/>
    <w:p>
      <w:pPr>
        <w:spacing w:after="0"/>
        <w:ind w:left="0"/>
        <w:jc w:val="both"/>
      </w:pPr>
      <w:r>
        <w:rPr>
          <w:rFonts w:ascii="Times New Roman"/>
          <w:b w:val="false"/>
          <w:i w:val="false"/>
          <w:color w:val="000000"/>
          <w:sz w:val="28"/>
        </w:rPr>
        <w:t>
      3. Дополнить приложением № 9 следующего содержания: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p>
        </w:tc>
      </w:tr>
    </w:tbl>
    <w:bookmarkStart w:name="z17" w:id="9"/>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фармакокинетического и клинического исследований биоэквивалентности кортикостероидных лекарственных препаратов для местного применения</w:t>
      </w:r>
    </w:p>
    <w:bookmarkEnd w:id="9"/>
    <w:bookmarkStart w:name="z18" w:id="10"/>
    <w:p>
      <w:pPr>
        <w:spacing w:after="0"/>
        <w:ind w:left="0"/>
        <w:jc w:val="left"/>
      </w:pPr>
      <w:r>
        <w:rPr>
          <w:rFonts w:ascii="Times New Roman"/>
          <w:b/>
          <w:i w:val="false"/>
          <w:color w:val="000000"/>
        </w:rPr>
        <w:t xml:space="preserve"> I.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Требования содержат указания по подтверждению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кортикостероидных лекарственных препаратов для местного применения путем проведения фармакодинамических исследований с использованием метода модифицированного биоанализа сужения сосудов по Стаутон-MакКензи (далее – биоанализ сужения сосудов, биоанализ побледнения кожи). Указанный метод предполагает оценку длительности воздействия для контроля дозы вводимых кортикостероидных препаратов для местного применения, а также проведение пилотного исследования зависимости "длительность воздействия дозы – ответ" для определения приемлемой длительности воздействия дозы в опорном клиническом исследовании, и проведение опорного клинического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 репликативным дизайном и подтверждением приемлемой зависимости "длительность воздействия дозы – ответ" субъектов. Как и все биоаналитические методики, данный фармакодинамический биоанализ требует детальной валидации, которая является обязанностью спонсора.</w:t>
      </w:r>
    </w:p>
    <w:bookmarkEnd w:id="11"/>
    <w:bookmarkStart w:name="z20" w:id="12"/>
    <w:p>
      <w:pPr>
        <w:spacing w:after="0"/>
        <w:ind w:left="0"/>
        <w:jc w:val="both"/>
      </w:pPr>
      <w:r>
        <w:rPr>
          <w:rFonts w:ascii="Times New Roman"/>
          <w:b w:val="false"/>
          <w:i w:val="false"/>
          <w:color w:val="000000"/>
          <w:sz w:val="28"/>
        </w:rPr>
        <w:t xml:space="preserve">
      2. Сильнодействующие кортикостероидные лекарственные препараты для местного применения могут угнетать работу гипоталамо-гипофизарно-надпочечниковой оси, однако для препаратов, биоэквивалентность которых подтверждена в соответствии с настоящими Требованиями, представление результатов испытаний на подавление гипоталамо-гипофизарно-надпочечниковой оси в виде отчета в составе регистрационного досье лекарственного препарата не требуется. </w:t>
      </w:r>
    </w:p>
    <w:bookmarkEnd w:id="12"/>
    <w:bookmarkStart w:name="z21" w:id="13"/>
    <w:p>
      <w:pPr>
        <w:spacing w:after="0"/>
        <w:ind w:left="0"/>
        <w:jc w:val="both"/>
      </w:pPr>
      <w:r>
        <w:rPr>
          <w:rFonts w:ascii="Times New Roman"/>
          <w:b w:val="false"/>
          <w:i w:val="false"/>
          <w:color w:val="000000"/>
          <w:sz w:val="28"/>
        </w:rPr>
        <w:t>
      3. Настоящие Требования применяются в отношении кортикостероидных лекарственных препаратов для местного применения независимо от уровня их активности. Поскольку характеристики зависимости "длительность воздействия дозы – ответ" могут изменяться в зависимости от конкретного лекарственного препарата, для определения соответствующих параметров основного (опорного) исследования рекомендуется проведение пилотного исследования.</w:t>
      </w:r>
    </w:p>
    <w:bookmarkEnd w:id="13"/>
    <w:bookmarkStart w:name="z22" w:id="14"/>
    <w:p>
      <w:pPr>
        <w:spacing w:after="0"/>
        <w:ind w:left="0"/>
        <w:jc w:val="both"/>
      </w:pPr>
      <w:r>
        <w:rPr>
          <w:rFonts w:ascii="Times New Roman"/>
          <w:b w:val="false"/>
          <w:i w:val="false"/>
          <w:color w:val="000000"/>
          <w:sz w:val="28"/>
        </w:rPr>
        <w:t xml:space="preserve">
      4. Подтверждение биоэквивалентности 2 твердых лекарственных форм для приема внутрь обычно основывается на сравнении концентраций действующего вещества и (или) метаболита в доступной биологической жидкости (например, в крови или моче) после однократного или многократного дозирования каждого лекарственного препарата при проведении исследования с участием здоровых добровольцев. При невозможности применения этого метода для подтверждения биоэквивалентности разрешается использовать следующие методы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порядке убывания предпочтительности):</w:t>
      </w:r>
    </w:p>
    <w:bookmarkEnd w:id="14"/>
    <w:bookmarkStart w:name="z23" w:id="15"/>
    <w:p>
      <w:pPr>
        <w:spacing w:after="0"/>
        <w:ind w:left="0"/>
        <w:jc w:val="both"/>
      </w:pPr>
      <w:r>
        <w:rPr>
          <w:rFonts w:ascii="Times New Roman"/>
          <w:b w:val="false"/>
          <w:i w:val="false"/>
          <w:color w:val="000000"/>
          <w:sz w:val="28"/>
        </w:rPr>
        <w:t>
      а) фармакодинамические исследования;</w:t>
      </w:r>
    </w:p>
    <w:bookmarkEnd w:id="15"/>
    <w:bookmarkStart w:name="z24" w:id="16"/>
    <w:p>
      <w:pPr>
        <w:spacing w:after="0"/>
        <w:ind w:left="0"/>
        <w:jc w:val="both"/>
      </w:pPr>
      <w:r>
        <w:rPr>
          <w:rFonts w:ascii="Times New Roman"/>
          <w:b w:val="false"/>
          <w:i w:val="false"/>
          <w:color w:val="000000"/>
          <w:sz w:val="28"/>
        </w:rPr>
        <w:t>
      б) клинические исследования;</w:t>
      </w:r>
    </w:p>
    <w:bookmarkEnd w:id="16"/>
    <w:bookmarkStart w:name="z25" w:id="17"/>
    <w:p>
      <w:pPr>
        <w:spacing w:after="0"/>
        <w:ind w:left="0"/>
        <w:jc w:val="both"/>
      </w:pPr>
      <w:r>
        <w:rPr>
          <w:rFonts w:ascii="Times New Roman"/>
          <w:b w:val="false"/>
          <w:i w:val="false"/>
          <w:color w:val="000000"/>
          <w:sz w:val="28"/>
        </w:rPr>
        <w:t xml:space="preserve">
      в)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животных;</w:t>
      </w:r>
    </w:p>
    <w:bookmarkEnd w:id="17"/>
    <w:bookmarkStart w:name="z26" w:id="18"/>
    <w:p>
      <w:pPr>
        <w:spacing w:after="0"/>
        <w:ind w:left="0"/>
        <w:jc w:val="both"/>
      </w:pPr>
      <w:r>
        <w:rPr>
          <w:rFonts w:ascii="Times New Roman"/>
          <w:b w:val="false"/>
          <w:i w:val="false"/>
          <w:color w:val="000000"/>
          <w:sz w:val="28"/>
        </w:rPr>
        <w:t xml:space="preserve">
      г)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5. Для установления биоэквивалентности кортикостероидных лекарственных препаратов для местного применения в случае, если концентрация действующего вещества или его метаболитов не может быть оценена в доступных биологических жидкостях, требуется проведение фармакодинамического или клинического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Клинические исследования обычно требуют включения большого числа субъектов и нередко не обладают достаточной чувствительностью. В отличие от них, фармакодинамические исследования позволяют получить приемлемые данные о биоэквивалентности при участии относительно небольшого количества субъектов.</w:t>
      </w:r>
    </w:p>
    <w:bookmarkEnd w:id="19"/>
    <w:bookmarkStart w:name="z28" w:id="20"/>
    <w:p>
      <w:pPr>
        <w:spacing w:after="0"/>
        <w:ind w:left="0"/>
        <w:jc w:val="both"/>
      </w:pPr>
      <w:r>
        <w:rPr>
          <w:rFonts w:ascii="Times New Roman"/>
          <w:b w:val="false"/>
          <w:i w:val="false"/>
          <w:color w:val="000000"/>
          <w:sz w:val="28"/>
        </w:rPr>
        <w:t>
      6. Регистрация воспроизведенных кортикостероидных лекарственных препаратов для местного применения должна основываться в первую очередь на оценке фармакодинамических эффектов. Такой подход обусловлен свойством кортикостероидов вызывать побледнение кожи вследствие сужения микрососудов кожи. Данное свойство связано с количеством действующего вещества, поступившего в кожу, и может являться основанием для сравнения поступления действующего вещества из 2 потенциально эквивалентных составов кортикостероидных лекарственных препаратов для местного применения.</w:t>
      </w:r>
    </w:p>
    <w:bookmarkEnd w:id="20"/>
    <w:bookmarkStart w:name="z29" w:id="21"/>
    <w:p>
      <w:pPr>
        <w:spacing w:after="0"/>
        <w:ind w:left="0"/>
        <w:jc w:val="both"/>
      </w:pPr>
      <w:r>
        <w:rPr>
          <w:rFonts w:ascii="Times New Roman"/>
          <w:b w:val="false"/>
          <w:i w:val="false"/>
          <w:color w:val="000000"/>
          <w:sz w:val="28"/>
        </w:rPr>
        <w:t xml:space="preserve">
      7. Несмотря на то, что существует несколько видов анализа сужения сосудов, общий метод основан на местном нанесении здоровым добровольцам кортикостероидного лекарственного препарата на период 6 – 16 часов, с последующей визуальной оценкой прошедшим подготовку ослепленным наблюдателем степени побледнения кожи по балльной шкале (0 – 3 или 0 – 4 баллов) в одной временно́й точке, как правило, через 2 часа после удаления препарата. </w:t>
      </w:r>
    </w:p>
    <w:bookmarkEnd w:id="21"/>
    <w:bookmarkStart w:name="z30" w:id="22"/>
    <w:p>
      <w:pPr>
        <w:spacing w:after="0"/>
        <w:ind w:left="0"/>
        <w:jc w:val="both"/>
      </w:pPr>
      <w:r>
        <w:rPr>
          <w:rFonts w:ascii="Times New Roman"/>
          <w:b w:val="false"/>
          <w:i w:val="false"/>
          <w:color w:val="000000"/>
          <w:sz w:val="28"/>
        </w:rPr>
        <w:t xml:space="preserve">
      8. Настоящие Требования предполагают проведение 2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(пилотного исследования зависимости "длительность воздействия дозы – ответ" и опорного клинического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сравнения исследуемого и референтного лекарственных препаратов. Пилотное исследование характеризует зависимость "длительность воздействия дозы – ответ" в рамках модели определения Е</w:t>
      </w:r>
      <w:r>
        <w:rPr>
          <w:rFonts w:ascii="Times New Roman"/>
          <w:b w:val="false"/>
          <w:i w:val="false"/>
          <w:color w:val="000000"/>
          <w:vertAlign w:val="subscript"/>
        </w:rPr>
        <w:t>max</w:t>
      </w:r>
      <w:r>
        <w:rPr>
          <w:rFonts w:ascii="Times New Roman"/>
          <w:b w:val="false"/>
          <w:i w:val="false"/>
          <w:color w:val="000000"/>
          <w:sz w:val="28"/>
        </w:rPr>
        <w:t xml:space="preserve"> и проводится исключительно с использованием референтного лекарственного препарата. Предпочтительный для подтверждения биоэквивалентности метод оценки длительности воздействия дозы основан на использовании 3 длительностей воздействия доз: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Сравнение исследуемого и референтного кортикостероидных лекарственных препаратов в рамках опорного исследования проводится на уровне, длительности воздействия дозы, приблизительно эквивалентном популяционной ED</w:t>
      </w:r>
      <w:r>
        <w:rPr>
          <w:rFonts w:ascii="Times New Roman"/>
          <w:b w:val="false"/>
          <w:i w:val="false"/>
          <w:color w:val="000000"/>
          <w:vertAlign w:val="subscript"/>
        </w:rPr>
        <w:t>50</w:t>
      </w:r>
      <w:r>
        <w:rPr>
          <w:rFonts w:ascii="Times New Roman"/>
          <w:b w:val="false"/>
          <w:i w:val="false"/>
          <w:color w:val="000000"/>
          <w:sz w:val="28"/>
        </w:rPr>
        <w:t xml:space="preserve"> по результатам пилотного исследования. Чувствительность опорного исследования устанавливается посредством нанесения референтного калибровочного стандарта на 2 уровнях длительности воздействия дозы: D</w:t>
      </w:r>
      <w:r>
        <w:rPr>
          <w:rFonts w:ascii="Times New Roman"/>
          <w:b w:val="false"/>
          <w:i w:val="false"/>
          <w:color w:val="000000"/>
          <w:vertAlign w:val="subscript"/>
        </w:rPr>
        <w:t>1</w:t>
      </w:r>
      <w:r>
        <w:rPr>
          <w:rFonts w:ascii="Times New Roman"/>
          <w:b w:val="false"/>
          <w:i w:val="false"/>
          <w:color w:val="000000"/>
          <w:sz w:val="28"/>
        </w:rPr>
        <w:t xml:space="preserve"> (калибровочный стандарт с более короткой длительностью воздействия дозы) и D</w:t>
      </w:r>
      <w:r>
        <w:rPr>
          <w:rFonts w:ascii="Times New Roman"/>
          <w:b w:val="false"/>
          <w:i w:val="false"/>
          <w:color w:val="000000"/>
          <w:vertAlign w:val="subscript"/>
        </w:rPr>
        <w:t>2</w:t>
      </w:r>
      <w:r>
        <w:rPr>
          <w:rFonts w:ascii="Times New Roman"/>
          <w:b w:val="false"/>
          <w:i w:val="false"/>
          <w:color w:val="000000"/>
          <w:sz w:val="28"/>
        </w:rPr>
        <w:t xml:space="preserve"> (калибровочный стандарт с большей длительностью воздействия дозы). Следует устанавливать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равной примерно 0,5×ED</w:t>
      </w:r>
      <w:r>
        <w:rPr>
          <w:rFonts w:ascii="Times New Roman"/>
          <w:b w:val="false"/>
          <w:i w:val="false"/>
          <w:color w:val="000000"/>
          <w:vertAlign w:val="subscript"/>
        </w:rPr>
        <w:t>50</w:t>
      </w:r>
      <w:r>
        <w:rPr>
          <w:rFonts w:ascii="Times New Roman"/>
          <w:b w:val="false"/>
          <w:i w:val="false"/>
          <w:color w:val="000000"/>
          <w:sz w:val="28"/>
        </w:rPr>
        <w:t>, а D</w:t>
      </w:r>
      <w:r>
        <w:rPr>
          <w:rFonts w:ascii="Times New Roman"/>
          <w:b w:val="false"/>
          <w:i w:val="false"/>
          <w:color w:val="000000"/>
          <w:vertAlign w:val="subscript"/>
        </w:rPr>
        <w:t>2</w:t>
      </w:r>
      <w:r>
        <w:rPr>
          <w:rFonts w:ascii="Times New Roman"/>
          <w:b w:val="false"/>
          <w:i w:val="false"/>
          <w:color w:val="000000"/>
          <w:sz w:val="28"/>
        </w:rPr>
        <w:t xml:space="preserve"> – 2×ED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по результатам пилотного исследования. Каждый субъект выступает в роли "детектора" в таком исследовании, поэтому только данные тех субъектов, у которых отношение фармакодинамических ответов на дозе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к дозе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соответствует установленному минимальному значению, могут быть включены в анализ и подвергнуты статистической обработке для подтверждения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22"/>
    <w:bookmarkStart w:name="z31" w:id="23"/>
    <w:p>
      <w:pPr>
        <w:spacing w:after="0"/>
        <w:ind w:left="0"/>
        <w:jc w:val="left"/>
      </w:pPr>
      <w:r>
        <w:rPr>
          <w:rFonts w:ascii="Times New Roman"/>
          <w:b/>
          <w:i w:val="false"/>
          <w:color w:val="000000"/>
        </w:rPr>
        <w:t xml:space="preserve"> II. Определения</w:t>
      </w:r>
    </w:p>
    <w:bookmarkEnd w:id="23"/>
    <w:bookmarkStart w:name="z32" w:id="24"/>
    <w:p>
      <w:pPr>
        <w:spacing w:after="0"/>
        <w:ind w:left="0"/>
        <w:jc w:val="both"/>
      </w:pPr>
      <w:r>
        <w:rPr>
          <w:rFonts w:ascii="Times New Roman"/>
          <w:b w:val="false"/>
          <w:i w:val="false"/>
          <w:color w:val="000000"/>
          <w:sz w:val="28"/>
        </w:rPr>
        <w:t>
      9. Для целей настоящих Требований используются понятия, которые означают следующее:</w:t>
      </w:r>
    </w:p>
    <w:bookmarkEnd w:id="24"/>
    <w:bookmarkStart w:name="z33" w:id="25"/>
    <w:p>
      <w:pPr>
        <w:spacing w:after="0"/>
        <w:ind w:left="0"/>
        <w:jc w:val="both"/>
      </w:pPr>
      <w:r>
        <w:rPr>
          <w:rFonts w:ascii="Times New Roman"/>
          <w:b w:val="false"/>
          <w:i w:val="false"/>
          <w:color w:val="000000"/>
          <w:sz w:val="28"/>
        </w:rPr>
        <w:t xml:space="preserve">
      "субъект, не ответивший на лечение" (nonresponder) – субъект, не проявляющий ответ на однократную длительность воздействия дозы референтного лекарственного препарата использованного в тех же условиях (с окклюзией или без окклюзии) в пилотном и опорном исследованиях; </w:t>
      </w:r>
    </w:p>
    <w:bookmarkEnd w:id="25"/>
    <w:bookmarkStart w:name="z34" w:id="26"/>
    <w:p>
      <w:pPr>
        <w:spacing w:after="0"/>
        <w:ind w:left="0"/>
        <w:jc w:val="both"/>
      </w:pPr>
      <w:r>
        <w:rPr>
          <w:rFonts w:ascii="Times New Roman"/>
          <w:b w:val="false"/>
          <w:i w:val="false"/>
          <w:color w:val="000000"/>
          <w:sz w:val="28"/>
        </w:rPr>
        <w:t>
      "субъект ответивший на лечение" (responder) – субъект, проявляющий ответ на однократную длительность воздействия дозы референтного лекарственного препарата использованного в тех же условиях (с окклюзией или окклюзии) в пилотном и опорном исследованиях.</w:t>
      </w:r>
    </w:p>
    <w:bookmarkEnd w:id="26"/>
    <w:bookmarkStart w:name="z35" w:id="27"/>
    <w:p>
      <w:pPr>
        <w:spacing w:after="0"/>
        <w:ind w:left="0"/>
        <w:jc w:val="left"/>
      </w:pPr>
      <w:r>
        <w:rPr>
          <w:rFonts w:ascii="Times New Roman"/>
          <w:b/>
          <w:i w:val="false"/>
          <w:color w:val="000000"/>
        </w:rPr>
        <w:t xml:space="preserve"> III. Исследование фармакодинамических эффектов:</w:t>
      </w:r>
      <w:r>
        <w:br/>
      </w:r>
      <w:r>
        <w:rPr>
          <w:rFonts w:ascii="Times New Roman"/>
          <w:b/>
          <w:i w:val="false"/>
          <w:color w:val="000000"/>
        </w:rPr>
        <w:t>анализ сужения сосудов</w:t>
      </w:r>
    </w:p>
    <w:bookmarkEnd w:id="27"/>
    <w:bookmarkStart w:name="z36" w:id="28"/>
    <w:p>
      <w:pPr>
        <w:spacing w:after="0"/>
        <w:ind w:left="0"/>
        <w:jc w:val="both"/>
      </w:pPr>
      <w:r>
        <w:rPr>
          <w:rFonts w:ascii="Times New Roman"/>
          <w:b w:val="false"/>
          <w:i w:val="false"/>
          <w:color w:val="000000"/>
          <w:sz w:val="28"/>
        </w:rPr>
        <w:t>
      10. При оценке результатов исследований эквивалентности уполномоченные органы (экспертные организации) государств – членов Евразийского экономического союза (далее – государства-члены) должны удостовериться в проведении исполнителем исследований при изучении эквивалентности методом анализа сужения сосудов кожи:</w:t>
      </w:r>
    </w:p>
    <w:bookmarkEnd w:id="28"/>
    <w:bookmarkStart w:name="z37" w:id="29"/>
    <w:p>
      <w:pPr>
        <w:spacing w:after="0"/>
        <w:ind w:left="0"/>
        <w:jc w:val="both"/>
      </w:pPr>
      <w:r>
        <w:rPr>
          <w:rFonts w:ascii="Times New Roman"/>
          <w:b w:val="false"/>
          <w:i w:val="false"/>
          <w:color w:val="000000"/>
          <w:sz w:val="28"/>
        </w:rPr>
        <w:t>
      валидации и стандартизации метода анализа сужения сосудов кожи как биоанализа;</w:t>
      </w:r>
    </w:p>
    <w:bookmarkEnd w:id="29"/>
    <w:bookmarkStart w:name="z38" w:id="30"/>
    <w:p>
      <w:pPr>
        <w:spacing w:after="0"/>
        <w:ind w:left="0"/>
        <w:jc w:val="both"/>
      </w:pPr>
      <w:r>
        <w:rPr>
          <w:rFonts w:ascii="Times New Roman"/>
          <w:b w:val="false"/>
          <w:i w:val="false"/>
          <w:color w:val="000000"/>
          <w:sz w:val="28"/>
        </w:rPr>
        <w:t>
      выбора в качестве наблюдателя – персонала, прошедшего подготовку с целью надлежащей оценки сужения сосудов.</w:t>
      </w:r>
    </w:p>
    <w:bookmarkEnd w:id="30"/>
    <w:bookmarkStart w:name="z39" w:id="31"/>
    <w:p>
      <w:pPr>
        <w:spacing w:after="0"/>
        <w:ind w:left="0"/>
        <w:jc w:val="left"/>
      </w:pPr>
      <w:r>
        <w:rPr>
          <w:rFonts w:ascii="Times New Roman"/>
          <w:b/>
          <w:i w:val="false"/>
          <w:color w:val="000000"/>
        </w:rPr>
        <w:t xml:space="preserve"> 1. Валидация и стандартизация метода анализа сужения сосудов кожи</w:t>
      </w:r>
    </w:p>
    <w:bookmarkEnd w:id="31"/>
    <w:bookmarkStart w:name="z40" w:id="32"/>
    <w:p>
      <w:pPr>
        <w:spacing w:after="0"/>
        <w:ind w:left="0"/>
        <w:jc w:val="both"/>
      </w:pPr>
      <w:r>
        <w:rPr>
          <w:rFonts w:ascii="Times New Roman"/>
          <w:b w:val="false"/>
          <w:i w:val="false"/>
          <w:color w:val="000000"/>
          <w:sz w:val="28"/>
        </w:rPr>
        <w:t>
      11. Применение анализа сужения сосудов для оценки биоэквивалентности кортикостероидных лекарственных препаратов для местного применения основывается на предположении, что сосудосуживающие свойства кортикостероидов при местном применении могут быть использованы для разработки метода стандартного валидированного биоанализа. Результаты разработки и валидация биоанализа должны быть документально оформлены.</w:t>
      </w:r>
    </w:p>
    <w:bookmarkEnd w:id="32"/>
    <w:bookmarkStart w:name="z41" w:id="33"/>
    <w:p>
      <w:pPr>
        <w:spacing w:after="0"/>
        <w:ind w:left="0"/>
        <w:jc w:val="both"/>
      </w:pPr>
      <w:r>
        <w:rPr>
          <w:rFonts w:ascii="Times New Roman"/>
          <w:b w:val="false"/>
          <w:i w:val="false"/>
          <w:color w:val="000000"/>
          <w:sz w:val="28"/>
        </w:rPr>
        <w:t>
      12. В процессе экспертизы регистрационного досье кортикостероидного лекарственного препарата необходимо проводить сопоставление результатов валидации ВЭЖХ или ГЖХ методики для количественного определения концентрации кортикостероидного лекарственного препарата в крови после введения определенной дозы с результатами валидации методики биоанализа сужения сосудов. При использовании биоанализа сужения сосудов ответ детектора ВЭЖХ или ГЖХ на известное количество действующего вещества заменяется наблюдаемым фармакодинамическим ответом (в данном случае сужением сосудов при использовании кортикостероидного лекарственного препарата для местного применения) на количество введенного действующего вещества.</w:t>
      </w:r>
    </w:p>
    <w:bookmarkEnd w:id="33"/>
    <w:bookmarkStart w:name="z42" w:id="34"/>
    <w:p>
      <w:pPr>
        <w:spacing w:after="0"/>
        <w:ind w:left="0"/>
        <w:jc w:val="both"/>
      </w:pPr>
      <w:r>
        <w:rPr>
          <w:rFonts w:ascii="Times New Roman"/>
          <w:b w:val="false"/>
          <w:i w:val="false"/>
          <w:color w:val="000000"/>
          <w:sz w:val="28"/>
        </w:rPr>
        <w:t>
      13. В то время как в типичном анализе концентрации в крови или моче используется только один инструмент и "детектор", каждый субъект исследования с использованием метода фармакодинамического биоанализа выступает в роли "детектора", отвечающего на известное или неизвестное количество действующего вещества. Несмотря на фундаментальные отличия между стандартным анализом концентрации в крови или моче и биоанализом, многие принципы стандартизации и валидации сопоставимы.</w:t>
      </w:r>
    </w:p>
    <w:bookmarkEnd w:id="34"/>
    <w:bookmarkStart w:name="z43" w:id="35"/>
    <w:p>
      <w:pPr>
        <w:spacing w:after="0"/>
        <w:ind w:left="0"/>
        <w:jc w:val="left"/>
      </w:pPr>
      <w:r>
        <w:rPr>
          <w:rFonts w:ascii="Times New Roman"/>
          <w:b/>
          <w:i w:val="false"/>
          <w:color w:val="000000"/>
        </w:rPr>
        <w:t xml:space="preserve"> Линейность</w:t>
      </w:r>
    </w:p>
    <w:bookmarkEnd w:id="35"/>
    <w:bookmarkStart w:name="z44" w:id="36"/>
    <w:p>
      <w:pPr>
        <w:spacing w:after="0"/>
        <w:ind w:left="0"/>
        <w:jc w:val="both"/>
      </w:pPr>
      <w:r>
        <w:rPr>
          <w:rFonts w:ascii="Times New Roman"/>
          <w:b w:val="false"/>
          <w:i w:val="false"/>
          <w:color w:val="000000"/>
          <w:sz w:val="28"/>
        </w:rPr>
        <w:t>
      14. Фармакодинамическая зависимость между дозой или концентрацией кортикостероидного лекарственного препарата и его исследуемым фармакодинамическим эффектом применима в биоанализе сужения сосудов при наличии оценки ее линейности. Несмотря на то, что существуют различные модели описания зависимости "доза – эффект", для биоанализа сужения сосудов применяется модель оценки E</w:t>
      </w:r>
      <w:r>
        <w:rPr>
          <w:rFonts w:ascii="Times New Roman"/>
          <w:b w:val="false"/>
          <w:i w:val="false"/>
          <w:color w:val="000000"/>
          <w:vertAlign w:val="subscript"/>
        </w:rPr>
        <w:t>max</w:t>
      </w:r>
      <w:r>
        <w:rPr>
          <w:rFonts w:ascii="Times New Roman"/>
          <w:b w:val="false"/>
          <w:i w:val="false"/>
          <w:color w:val="000000"/>
          <w:sz w:val="28"/>
        </w:rPr>
        <w:t>, или соответствующая сигмоидальная модель E</w:t>
      </w:r>
      <w:r>
        <w:rPr>
          <w:rFonts w:ascii="Times New Roman"/>
          <w:b w:val="false"/>
          <w:i w:val="false"/>
          <w:color w:val="000000"/>
          <w:vertAlign w:val="subscript"/>
        </w:rPr>
        <w:t>max</w:t>
      </w:r>
      <w:r>
        <w:rPr>
          <w:rFonts w:ascii="Times New Roman"/>
          <w:b w:val="false"/>
          <w:i w:val="false"/>
          <w:color w:val="000000"/>
          <w:sz w:val="28"/>
        </w:rPr>
        <w:t>, которая, рассчитывается по следующей формуле:</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04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Величина эффекта (Е) от введения любой дозы (D) рассчитывается исходя из значений 3 констант: исходного эффекта (Е</w:t>
      </w:r>
      <w:r>
        <w:rPr>
          <w:rFonts w:ascii="Times New Roman"/>
          <w:b w:val="false"/>
          <w:i w:val="false"/>
          <w:color w:val="000000"/>
          <w:vertAlign w:val="subscript"/>
        </w:rPr>
        <w:t>0</w:t>
      </w:r>
      <w:r>
        <w:rPr>
          <w:rFonts w:ascii="Times New Roman"/>
          <w:b w:val="false"/>
          <w:i w:val="false"/>
          <w:color w:val="000000"/>
          <w:sz w:val="28"/>
        </w:rPr>
        <w:t>), максимального эффекта (Е</w:t>
      </w:r>
      <w:r>
        <w:rPr>
          <w:rFonts w:ascii="Times New Roman"/>
          <w:b w:val="false"/>
          <w:i w:val="false"/>
          <w:color w:val="000000"/>
          <w:vertAlign w:val="subscript"/>
        </w:rPr>
        <w:t>max</w:t>
      </w:r>
      <w:r>
        <w:rPr>
          <w:rFonts w:ascii="Times New Roman"/>
          <w:b w:val="false"/>
          <w:i w:val="false"/>
          <w:color w:val="000000"/>
          <w:sz w:val="28"/>
        </w:rPr>
        <w:t>) и дозы, при введении которой эффект составляет половину от максимального (ED</w:t>
      </w:r>
      <w:r>
        <w:rPr>
          <w:rFonts w:ascii="Times New Roman"/>
          <w:b w:val="false"/>
          <w:i w:val="false"/>
          <w:color w:val="000000"/>
          <w:vertAlign w:val="subscript"/>
        </w:rPr>
        <w:t>50</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15.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сужение сосудов приближается к максимуму. Таким образом, основной проблемой, требующей решения при использовании метода анализа сужения сосудов кожи для оценки биоэквивалентности, является выход за пределы линейного диапазона ответа микрососудов кожи при нанесении исследуемых препаратов. Относительно высокие дозировки кортикостероидного лекарственного препарата для местного применения могут оказывать минимальное влияние на сужение сосудов независимо от интервала изменения величины дозы. При относительно низких дозировках кортикостероидного лекарственного препарата для местного применения определение минимальной дозы, которая вызывает надежное и воспроизводимое сужение сосудов, представляет собой основную проблему. Определение минимальной дозы является аналогом определения нижнего порога количественного определения концентрации действующего вещества в крови или моче в процессе валидации биоаналитичских методик при построении стандартной фармакокинетической кривой. Для оценки правильности выбора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необходимо построение и валидация стандартной кривой "доза – ответ".</w:t>
      </w:r>
    </w:p>
    <w:bookmarkEnd w:id="39"/>
    <w:bookmarkStart w:name="z48" w:id="40"/>
    <w:p>
      <w:pPr>
        <w:spacing w:after="0"/>
        <w:ind w:left="0"/>
        <w:jc w:val="both"/>
      </w:pPr>
      <w:r>
        <w:rPr>
          <w:rFonts w:ascii="Times New Roman"/>
          <w:b w:val="false"/>
          <w:i w:val="false"/>
          <w:color w:val="000000"/>
          <w:sz w:val="28"/>
        </w:rPr>
        <w:t xml:space="preserve">
      16. Для стандартной валидации аналитических методик необходимо установление линейности ответа "детектора". При разработке анализа сужения сосудов также желательна линейность ответа. Поскольку промышленные рецептуры воспроизведенного и референтного кортикостероидных лекарственных препаратов могут быть зарегистрированы для применения в дозировках, соответствующих плато кривой "доза – ответ", методика должна быть оптимизирована для обеспечения сравнения препаратов в линейной части кривой. </w:t>
      </w:r>
    </w:p>
    <w:bookmarkEnd w:id="40"/>
    <w:bookmarkStart w:name="z49" w:id="41"/>
    <w:p>
      <w:pPr>
        <w:spacing w:after="0"/>
        <w:ind w:left="0"/>
        <w:jc w:val="both"/>
      </w:pPr>
      <w:r>
        <w:rPr>
          <w:rFonts w:ascii="Times New Roman"/>
          <w:b w:val="false"/>
          <w:i w:val="false"/>
          <w:color w:val="000000"/>
          <w:sz w:val="28"/>
        </w:rPr>
        <w:t xml:space="preserve">
      17. Установление зависимости "доза – эффект" в отношении кортикостероидных лекарственных препаратов для местного применения должно быть основано на использовании способа, обеспечивающего надежное нанесение изучаемой дозы лекарственного препарата на кожу. Допускается использование одного из следующих методов, обеспечивающих надежное нанесение изучаемой дозы кортикостероидного лекарственного препарата: </w:t>
      </w:r>
    </w:p>
    <w:bookmarkEnd w:id="41"/>
    <w:bookmarkStart w:name="z50" w:id="42"/>
    <w:p>
      <w:pPr>
        <w:spacing w:after="0"/>
        <w:ind w:left="0"/>
        <w:jc w:val="both"/>
      </w:pPr>
      <w:r>
        <w:rPr>
          <w:rFonts w:ascii="Times New Roman"/>
          <w:b w:val="false"/>
          <w:i w:val="false"/>
          <w:color w:val="000000"/>
          <w:sz w:val="28"/>
        </w:rPr>
        <w:t>
      метод длительности воздействия дозы;</w:t>
      </w:r>
    </w:p>
    <w:bookmarkEnd w:id="42"/>
    <w:bookmarkStart w:name="z51" w:id="43"/>
    <w:p>
      <w:pPr>
        <w:spacing w:after="0"/>
        <w:ind w:left="0"/>
        <w:jc w:val="both"/>
      </w:pPr>
      <w:r>
        <w:rPr>
          <w:rFonts w:ascii="Times New Roman"/>
          <w:b w:val="false"/>
          <w:i w:val="false"/>
          <w:color w:val="000000"/>
          <w:sz w:val="28"/>
        </w:rPr>
        <w:t>
      метод разбавления;</w:t>
      </w:r>
    </w:p>
    <w:bookmarkEnd w:id="43"/>
    <w:bookmarkStart w:name="z52" w:id="44"/>
    <w:p>
      <w:pPr>
        <w:spacing w:after="0"/>
        <w:ind w:left="0"/>
        <w:jc w:val="both"/>
      </w:pPr>
      <w:r>
        <w:rPr>
          <w:rFonts w:ascii="Times New Roman"/>
          <w:b w:val="false"/>
          <w:i w:val="false"/>
          <w:color w:val="000000"/>
          <w:sz w:val="28"/>
        </w:rPr>
        <w:t>
      метод поверхности.</w:t>
      </w:r>
    </w:p>
    <w:bookmarkEnd w:id="44"/>
    <w:bookmarkStart w:name="z53" w:id="45"/>
    <w:p>
      <w:pPr>
        <w:spacing w:after="0"/>
        <w:ind w:left="0"/>
        <w:jc w:val="both"/>
      </w:pPr>
      <w:r>
        <w:rPr>
          <w:rFonts w:ascii="Times New Roman"/>
          <w:b w:val="false"/>
          <w:i w:val="false"/>
          <w:color w:val="000000"/>
          <w:sz w:val="28"/>
        </w:rPr>
        <w:t>
      Методы разбавления и длительности дозы являются хорошо стандартизуемыми и воспроизводимыми методами, однако метод разбавления не всегда позволяет учесть особенности различий в составе препаратов. Метод длительности воздействия дозы является наиболее подходящим для подтверждения биоэквивалентности кортикостероидных лекарственных препаратов для местного применения. Установление зависимости "длительность воздействия дозы – ответ" для кортикостероидных лекарственных препаратов для местного применения позволит определить точки для кривой "ответ – время", когда сужение сосудов становится нечувствительным. В целом, чтобы гарантировать наблюдение максимального фармакодинамического ответа при каждой длительности дозы, временная динамика ответа должна определяться до возвращения к исходному уровню.</w:t>
      </w:r>
    </w:p>
    <w:bookmarkEnd w:id="45"/>
    <w:bookmarkStart w:name="z54" w:id="46"/>
    <w:p>
      <w:pPr>
        <w:spacing w:after="0"/>
        <w:ind w:left="0"/>
        <w:jc w:val="left"/>
      </w:pPr>
      <w:r>
        <w:rPr>
          <w:rFonts w:ascii="Times New Roman"/>
          <w:b/>
          <w:i w:val="false"/>
          <w:color w:val="000000"/>
        </w:rPr>
        <w:t xml:space="preserve"> Правильность, прецизионность и чувствительность</w:t>
      </w:r>
    </w:p>
    <w:bookmarkEnd w:id="46"/>
    <w:bookmarkStart w:name="z55" w:id="47"/>
    <w:p>
      <w:pPr>
        <w:spacing w:after="0"/>
        <w:ind w:left="0"/>
        <w:jc w:val="both"/>
      </w:pPr>
      <w:r>
        <w:rPr>
          <w:rFonts w:ascii="Times New Roman"/>
          <w:b w:val="false"/>
          <w:i w:val="false"/>
          <w:color w:val="000000"/>
          <w:sz w:val="28"/>
        </w:rPr>
        <w:t>
      18. Разработка методологии установления правильности, прецизионности и чувствительности биоанализа кортикостероидного лекарственного препарата для местного применения должна проводиться одновременно с построением приемлемой стандартной кривой для анализа сужения сосудов. Для каждой группы пациентов в исследовании необходимо разработать указанную методологию и построить стандартную кривую для анализа сужения сосудов. Подобно стандартному анализу концентрации действующего вещества в крови или моче, эти сведения получают с использованием контрольной группы, субъекты которой не подвергаются воздействию, и калибровочных стандартов, содержащих исследуемый кортикостероидный препарат для местного применения. Воспроизведение результатов испытаний в контрольной группе и с применением калибровочных стандартов позволяет оценить коэффициенты вариации. Подобно стандартным ВЭЖХ- и ГЖХ-методикам, калибровочный стандарт которых подразумевает оценку ответа "детектора" на известную концентрацию действующего вещества, в фармакодинамическом биоанализе кортикостероидного лекарственного препарата для местного применения, основанном на длительности воздействия дозы, калибровочный стандарт подразумевает нанесение стандартной дозы кортикостероидного лекарственного препарата для местного применения и ее воздействие на кожу в течение периодов времени разной продолжительности.</w:t>
      </w:r>
    </w:p>
    <w:bookmarkEnd w:id="47"/>
    <w:bookmarkStart w:name="z56" w:id="48"/>
    <w:p>
      <w:pPr>
        <w:spacing w:after="0"/>
        <w:ind w:left="0"/>
        <w:jc w:val="left"/>
      </w:pPr>
      <w:r>
        <w:rPr>
          <w:rFonts w:ascii="Times New Roman"/>
          <w:b/>
          <w:i w:val="false"/>
          <w:color w:val="000000"/>
        </w:rPr>
        <w:t xml:space="preserve"> 2. Оценка сужения сосудов</w:t>
      </w:r>
    </w:p>
    <w:bookmarkEnd w:id="48"/>
    <w:bookmarkStart w:name="z57" w:id="49"/>
    <w:p>
      <w:pPr>
        <w:spacing w:after="0"/>
        <w:ind w:left="0"/>
        <w:jc w:val="both"/>
      </w:pPr>
      <w:r>
        <w:rPr>
          <w:rFonts w:ascii="Times New Roman"/>
          <w:b w:val="false"/>
          <w:i w:val="false"/>
          <w:color w:val="000000"/>
          <w:sz w:val="28"/>
        </w:rPr>
        <w:t>
      19. Применение аппаратной хромаметрии или колориметрии для обнаружения эритемы позволяет заменить субъективную визуальную оценку в рамках анализа сужения сосудов на объективную, определяемую количественно, оценку. Уполномоченными органами (экспертными организациями) государств-членов принимаются результаты аппаратной оценки в исследованиях биоэквивалентности на основе анализа сужения сосудов. Однако при соответствующей валидации с установлением корреляции между измерениями хромаметра (колориметра) и визуальными оценками разрешается использование метода визуальной оценки степени сужения сосудов.</w:t>
      </w:r>
    </w:p>
    <w:bookmarkEnd w:id="49"/>
    <w:bookmarkStart w:name="z58" w:id="50"/>
    <w:p>
      <w:pPr>
        <w:spacing w:after="0"/>
        <w:ind w:left="0"/>
        <w:jc w:val="both"/>
      </w:pPr>
      <w:r>
        <w:rPr>
          <w:rFonts w:ascii="Times New Roman"/>
          <w:b w:val="false"/>
          <w:i w:val="false"/>
          <w:color w:val="000000"/>
          <w:sz w:val="28"/>
        </w:rPr>
        <w:t xml:space="preserve">
      20. По сравнению с визуальной оценкой хромаметр обладает более высокой чувствительностью к побледнению кожи. </w:t>
      </w:r>
    </w:p>
    <w:bookmarkEnd w:id="50"/>
    <w:bookmarkStart w:name="z59" w:id="51"/>
    <w:p>
      <w:pPr>
        <w:spacing w:after="0"/>
        <w:ind w:left="0"/>
        <w:jc w:val="both"/>
      </w:pPr>
      <w:r>
        <w:rPr>
          <w:rFonts w:ascii="Times New Roman"/>
          <w:b w:val="false"/>
          <w:i w:val="false"/>
          <w:color w:val="000000"/>
          <w:sz w:val="28"/>
        </w:rPr>
        <w:t>
      21. В связи с наличием циркадного ритма изменения реакции кожных сосудов, связанного с циркадным ритмом содержания кортизола в плазме побледнение кожи следует оценивать за 2 последовательных 24-часовых интервала (48 часов). Значения площади под фармакодинамической кривой (AUEC), полученные в течение по меньшей мере 24 часов с момента удаления или нанесения лекарственного препарата, применимы для оценки биоэквивалентности в методике, приведенной в пункте 51 настоящих Требований.</w:t>
      </w:r>
    </w:p>
    <w:bookmarkEnd w:id="51"/>
    <w:bookmarkStart w:name="z60" w:id="52"/>
    <w:p>
      <w:pPr>
        <w:spacing w:after="0"/>
        <w:ind w:left="0"/>
        <w:jc w:val="both"/>
      </w:pPr>
      <w:r>
        <w:rPr>
          <w:rFonts w:ascii="Times New Roman"/>
          <w:b w:val="false"/>
          <w:i w:val="false"/>
          <w:color w:val="000000"/>
          <w:sz w:val="28"/>
        </w:rPr>
        <w:t>
      22. Показатели степени сужения сосудов, измеренные хромаметром и скорректированные по исходному значению состояния сосудов на контрольных участках кожи без нанесения лекарственного препарата (AUEC в контрольной группе), должны подтвердить, что у субъектов исследования отсутствуют:</w:t>
      </w:r>
    </w:p>
    <w:bookmarkEnd w:id="52"/>
    <w:bookmarkStart w:name="z61" w:id="53"/>
    <w:p>
      <w:pPr>
        <w:spacing w:after="0"/>
        <w:ind w:left="0"/>
        <w:jc w:val="both"/>
      </w:pPr>
      <w:r>
        <w:rPr>
          <w:rFonts w:ascii="Times New Roman"/>
          <w:b w:val="false"/>
          <w:i w:val="false"/>
          <w:color w:val="000000"/>
          <w:sz w:val="28"/>
        </w:rPr>
        <w:t xml:space="preserve">
      разница в ответах кожи левой и правой рук на лекарственный препарат; </w:t>
      </w:r>
    </w:p>
    <w:bookmarkEnd w:id="53"/>
    <w:bookmarkStart w:name="z62" w:id="54"/>
    <w:p>
      <w:pPr>
        <w:spacing w:after="0"/>
        <w:ind w:left="0"/>
        <w:jc w:val="both"/>
      </w:pPr>
      <w:r>
        <w:rPr>
          <w:rFonts w:ascii="Times New Roman"/>
          <w:b w:val="false"/>
          <w:i w:val="false"/>
          <w:color w:val="000000"/>
          <w:sz w:val="28"/>
        </w:rPr>
        <w:t>
      влияние на величину ответа места нанесения лекарственного препарата на кожу руки, расположенного не ближе 3 – 4 см до локтевой ямки или до запястья.</w:t>
      </w:r>
    </w:p>
    <w:bookmarkEnd w:id="54"/>
    <w:bookmarkStart w:name="z63" w:id="55"/>
    <w:p>
      <w:pPr>
        <w:spacing w:after="0"/>
        <w:ind w:left="0"/>
        <w:jc w:val="both"/>
      </w:pPr>
      <w:r>
        <w:rPr>
          <w:rFonts w:ascii="Times New Roman"/>
          <w:b w:val="false"/>
          <w:i w:val="false"/>
          <w:color w:val="000000"/>
          <w:sz w:val="28"/>
        </w:rPr>
        <w:t>
      Если установлено наличие разницы в ответах или влияние на величину ответа места нанесения лекарственного препарата, следует использовать указанный в пункте 59 настоящих Требований дизайн клинического исследования, при котором схемы нанесения лекарственного препарата на каждую руку комплементарны (например, места нанесения исследуемого лекарственного препарата на одну руку совпадают с местами нанесения референтного лекарственного препарата на другую руку). Это позволяет минимизировать разницу в ответах или влияние на величину ответа места нанесения лекарственного препарата.</w:t>
      </w:r>
    </w:p>
    <w:bookmarkEnd w:id="55"/>
    <w:bookmarkStart w:name="z64" w:id="56"/>
    <w:p>
      <w:pPr>
        <w:spacing w:after="0"/>
        <w:ind w:left="0"/>
        <w:jc w:val="left"/>
      </w:pPr>
      <w:r>
        <w:rPr>
          <w:rFonts w:ascii="Times New Roman"/>
          <w:b/>
          <w:i w:val="false"/>
          <w:color w:val="000000"/>
        </w:rPr>
        <w:t xml:space="preserve"> IV. Пилотное исследование зависимости "длительность воздействия дозы – ответ"</w:t>
      </w:r>
    </w:p>
    <w:bookmarkEnd w:id="56"/>
    <w:bookmarkStart w:name="z65" w:id="57"/>
    <w:p>
      <w:pPr>
        <w:spacing w:after="0"/>
        <w:ind w:left="0"/>
        <w:jc w:val="both"/>
      </w:pPr>
      <w:r>
        <w:rPr>
          <w:rFonts w:ascii="Times New Roman"/>
          <w:b w:val="false"/>
          <w:i w:val="false"/>
          <w:color w:val="000000"/>
          <w:sz w:val="28"/>
        </w:rPr>
        <w:t xml:space="preserve">
      23. Целью пилотного исследования является оценка зависимости "длительность воздействия дозы – ответ", которая должна быть изучена в ходе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кортикостероидного лекарственного препарата для местного применения. Данное исследование аналогично разработке стандартной кривой при анализе содержания действующего вещества в биологической матрице. Результат пилотного исследования позволяет получить сведения о зависимости "длительность воздействия дозы – ответ", необходимые для определения параметров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xml:space="preserve">, используемые в опорном исследовании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и провести оценку доли субъектов, которые предположительно будут соответствовать минимальному значению отношения показателей AUEC для дозы D</w:t>
      </w:r>
      <w:r>
        <w:rPr>
          <w:rFonts w:ascii="Times New Roman"/>
          <w:b w:val="false"/>
          <w:i w:val="false"/>
          <w:color w:val="000000"/>
          <w:vertAlign w:val="subscript"/>
        </w:rPr>
        <w:t>2</w:t>
      </w:r>
      <w:r>
        <w:rPr>
          <w:rFonts w:ascii="Times New Roman"/>
          <w:b w:val="false"/>
          <w:i w:val="false"/>
          <w:color w:val="000000"/>
          <w:sz w:val="28"/>
        </w:rPr>
        <w:t xml:space="preserve"> к показателям AUEC для дозы D</w:t>
      </w:r>
      <w:r>
        <w:rPr>
          <w:rFonts w:ascii="Times New Roman"/>
          <w:b w:val="false"/>
          <w:i w:val="false"/>
          <w:color w:val="000000"/>
          <w:vertAlign w:val="subscript"/>
        </w:rPr>
        <w:t>1</w:t>
      </w:r>
      <w:r>
        <w:rPr>
          <w:rFonts w:ascii="Times New Roman"/>
          <w:b w:val="false"/>
          <w:i w:val="false"/>
          <w:color w:val="000000"/>
          <w:sz w:val="28"/>
        </w:rPr>
        <w:t xml:space="preserve"> в опорном исследовании. Поскольку результаты пилотного исследования могут функционально зависеть от условий исследования, включая среди прочих факторов характеристики группы субъектов, методологию оценки побледнения кожи, количество нанесенного лекарственного препарата, следует проводить пилотное исследование в каждом исследовательском центре для каждого референтного лекарственного препарата в исследовании.</w:t>
      </w:r>
    </w:p>
    <w:bookmarkEnd w:id="57"/>
    <w:bookmarkStart w:name="z66" w:id="58"/>
    <w:p>
      <w:pPr>
        <w:spacing w:after="0"/>
        <w:ind w:left="0"/>
        <w:jc w:val="left"/>
      </w:pPr>
      <w:r>
        <w:rPr>
          <w:rFonts w:ascii="Times New Roman"/>
          <w:b/>
          <w:i w:val="false"/>
          <w:color w:val="000000"/>
        </w:rPr>
        <w:t xml:space="preserve"> 1. Дизайн исследования и анализ</w:t>
      </w:r>
    </w:p>
    <w:bookmarkEnd w:id="58"/>
    <w:bookmarkStart w:name="z67" w:id="59"/>
    <w:p>
      <w:pPr>
        <w:spacing w:after="0"/>
        <w:ind w:left="0"/>
        <w:jc w:val="both"/>
      </w:pPr>
      <w:r>
        <w:rPr>
          <w:rFonts w:ascii="Times New Roman"/>
          <w:b w:val="false"/>
          <w:i w:val="false"/>
          <w:color w:val="000000"/>
          <w:sz w:val="28"/>
        </w:rPr>
        <w:t>
      24. Исследование "длительность воздействия дозы – ответ" проводится только в отношении референтного кортикостероидного лекарственного препарата с рандомизацией участков нанесения по длительности воздействия дозы. Для учета поправки на изменение цвета участков кожи, подверженных воздействию лекарственного препарата в ходе исследования, независимо от продолжительности воздействия лекарственного препарата используют длительность воздействия дозы от 0,25 до 6,0 часов, а также ее нанесение на необработанные контрольные участки на каждой руке. Поскольку носитель (основа) соответствующего референтного кортикостероидного лекарственного препарата, как правило, недоступен, необработанные контрольные участки представляют собой необработанные участки кожи, а не области кожи, на которые нанесен носитель (основа).</w:t>
      </w:r>
    </w:p>
    <w:bookmarkEnd w:id="59"/>
    <w:bookmarkStart w:name="z68" w:id="60"/>
    <w:p>
      <w:pPr>
        <w:spacing w:after="0"/>
        <w:ind w:left="0"/>
        <w:jc w:val="both"/>
      </w:pPr>
      <w:r>
        <w:rPr>
          <w:rFonts w:ascii="Times New Roman"/>
          <w:b w:val="false"/>
          <w:i w:val="false"/>
          <w:color w:val="000000"/>
          <w:sz w:val="28"/>
        </w:rPr>
        <w:t>
      25. Хромаметрическая оценка фармакодинамического ответа на кортикостероидный лекарственный препарат для местного применения после каждого нанесения и удаления дозы лекарственного препарата проводится через разные промежутки времени, а не в одной временно́й точке.</w:t>
      </w:r>
    </w:p>
    <w:bookmarkEnd w:id="60"/>
    <w:bookmarkStart w:name="z69" w:id="61"/>
    <w:p>
      <w:pPr>
        <w:spacing w:after="0"/>
        <w:ind w:left="0"/>
        <w:jc w:val="both"/>
      </w:pPr>
      <w:r>
        <w:rPr>
          <w:rFonts w:ascii="Times New Roman"/>
          <w:b w:val="false"/>
          <w:i w:val="false"/>
          <w:color w:val="000000"/>
          <w:sz w:val="28"/>
        </w:rPr>
        <w:t>
      26. К данным о зависимости "длительность воздействия дозы – ответ" применяется подход нелинейной модели со смешанными эффектами или метод простого объединения данных для оценки величины популяционной ED</w:t>
      </w:r>
      <w:r>
        <w:rPr>
          <w:rFonts w:ascii="Times New Roman"/>
          <w:b w:val="false"/>
          <w:i w:val="false"/>
          <w:color w:val="000000"/>
          <w:vertAlign w:val="subscript"/>
        </w:rPr>
        <w:t>50</w:t>
      </w:r>
      <w:r>
        <w:rPr>
          <w:rFonts w:ascii="Times New Roman"/>
          <w:b w:val="false"/>
          <w:i w:val="false"/>
          <w:color w:val="000000"/>
          <w:sz w:val="28"/>
        </w:rPr>
        <w:t>, которая будет служить приближенным значением длительности воздействия дозы для подтверждения биоэквивалентности в основном (опорном) исследовании.</w:t>
      </w:r>
    </w:p>
    <w:bookmarkEnd w:id="61"/>
    <w:bookmarkStart w:name="z70" w:id="62"/>
    <w:p>
      <w:pPr>
        <w:spacing w:after="0"/>
        <w:ind w:left="0"/>
        <w:jc w:val="both"/>
      </w:pPr>
      <w:r>
        <w:rPr>
          <w:rFonts w:ascii="Times New Roman"/>
          <w:b w:val="false"/>
          <w:i w:val="false"/>
          <w:color w:val="000000"/>
          <w:sz w:val="28"/>
        </w:rPr>
        <w:t>
      27. Исследования проводятся с участием 12 субъектов.</w:t>
      </w:r>
    </w:p>
    <w:bookmarkEnd w:id="62"/>
    <w:bookmarkStart w:name="z71" w:id="63"/>
    <w:p>
      <w:pPr>
        <w:spacing w:after="0"/>
        <w:ind w:left="0"/>
        <w:jc w:val="both"/>
      </w:pPr>
      <w:r>
        <w:rPr>
          <w:rFonts w:ascii="Times New Roman"/>
          <w:b w:val="false"/>
          <w:i w:val="false"/>
          <w:color w:val="000000"/>
          <w:sz w:val="28"/>
        </w:rPr>
        <w:t>
      28. При наличии нескольких дозировок, пилотное и опорное исследования следует проводить с лекарственным препаратом в максимальной дозировке. Биовейвер для дополнительных дозировок в исследованиях биоэквивалентности для более низких дозировок дерматологического кортикостероидного лекарственного препарата для местного применения разрешается применять при выполнении 2 условий:</w:t>
      </w:r>
    </w:p>
    <w:bookmarkEnd w:id="63"/>
    <w:bookmarkStart w:name="z72" w:id="64"/>
    <w:p>
      <w:pPr>
        <w:spacing w:after="0"/>
        <w:ind w:left="0"/>
        <w:jc w:val="both"/>
      </w:pPr>
      <w:r>
        <w:rPr>
          <w:rFonts w:ascii="Times New Roman"/>
          <w:b w:val="false"/>
          <w:i w:val="false"/>
          <w:color w:val="000000"/>
          <w:sz w:val="28"/>
        </w:rPr>
        <w:t>
      получены положительные результаты изучения биоэквивалентности у человека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большей дозировки лекарственного препарата;</w:t>
      </w:r>
    </w:p>
    <w:bookmarkEnd w:id="64"/>
    <w:bookmarkStart w:name="z73" w:id="65"/>
    <w:p>
      <w:pPr>
        <w:spacing w:after="0"/>
        <w:ind w:left="0"/>
        <w:jc w:val="both"/>
      </w:pPr>
      <w:r>
        <w:rPr>
          <w:rFonts w:ascii="Times New Roman"/>
          <w:b w:val="false"/>
          <w:i w:val="false"/>
          <w:color w:val="000000"/>
          <w:sz w:val="28"/>
        </w:rPr>
        <w:t>
      представлены данные о сопоставимости состава вспомогательных веществ более низких дозировок исследуемого лекарственного препарата с соответствующими дозировками референтного лекарственного препарата как в отношении их качественного состава (параметр Q</w:t>
      </w:r>
      <w:r>
        <w:rPr>
          <w:rFonts w:ascii="Times New Roman"/>
          <w:b w:val="false"/>
          <w:i w:val="false"/>
          <w:color w:val="000000"/>
          <w:vertAlign w:val="subscript"/>
        </w:rPr>
        <w:t>1</w:t>
      </w:r>
      <w:r>
        <w:rPr>
          <w:rFonts w:ascii="Times New Roman"/>
          <w:b w:val="false"/>
          <w:i w:val="false"/>
          <w:color w:val="000000"/>
          <w:sz w:val="28"/>
        </w:rPr>
        <w:t>), так и в отношении количественного содержания каждого компонента состава (параметр Q</w:t>
      </w:r>
      <w:r>
        <w:rPr>
          <w:rFonts w:ascii="Times New Roman"/>
          <w:b w:val="false"/>
          <w:i w:val="false"/>
          <w:color w:val="000000"/>
          <w:vertAlign w:val="subscript"/>
        </w:rPr>
        <w:t>2</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При невыполнении требований сопоставимости состава вспомогательных веществ по параметрам Q</w:t>
      </w:r>
      <w:r>
        <w:rPr>
          <w:rFonts w:ascii="Times New Roman"/>
          <w:b w:val="false"/>
          <w:i w:val="false"/>
          <w:color w:val="000000"/>
          <w:vertAlign w:val="subscript"/>
        </w:rPr>
        <w:t>1</w:t>
      </w:r>
      <w:r>
        <w:rPr>
          <w:rFonts w:ascii="Times New Roman"/>
          <w:b w:val="false"/>
          <w:i w:val="false"/>
          <w:color w:val="000000"/>
          <w:sz w:val="28"/>
        </w:rPr>
        <w:t xml:space="preserve"> и Q</w:t>
      </w:r>
      <w:r>
        <w:rPr>
          <w:rFonts w:ascii="Times New Roman"/>
          <w:b w:val="false"/>
          <w:i w:val="false"/>
          <w:color w:val="000000"/>
          <w:vertAlign w:val="subscript"/>
        </w:rPr>
        <w:t>2</w:t>
      </w:r>
      <w:r>
        <w:rPr>
          <w:rFonts w:ascii="Times New Roman"/>
          <w:b w:val="false"/>
          <w:i w:val="false"/>
          <w:color w:val="000000"/>
          <w:sz w:val="28"/>
        </w:rPr>
        <w:t xml:space="preserve"> для более низких дозировок исследуемого лекарственного препарата по отношению к соответствующим дозировкам референтного лекарственного препарата применение биовейвера для дополнительных дозировок возможно только при представлении заявителем обоснования отсутствия влияния разницы составов на эффективность и безопасность применения изучаемых лекарственных препаратов.</w:t>
      </w:r>
    </w:p>
    <w:bookmarkEnd w:id="66"/>
    <w:bookmarkStart w:name="z75" w:id="67"/>
    <w:p>
      <w:pPr>
        <w:spacing w:after="0"/>
        <w:ind w:left="0"/>
        <w:jc w:val="left"/>
      </w:pPr>
      <w:r>
        <w:rPr>
          <w:rFonts w:ascii="Times New Roman"/>
          <w:b/>
          <w:i w:val="false"/>
          <w:color w:val="000000"/>
        </w:rPr>
        <w:t xml:space="preserve"> 2. Критерии включения субъектов в исследование</w:t>
      </w:r>
    </w:p>
    <w:bookmarkEnd w:id="67"/>
    <w:bookmarkStart w:name="z76" w:id="68"/>
    <w:p>
      <w:pPr>
        <w:spacing w:after="0"/>
        <w:ind w:left="0"/>
        <w:jc w:val="both"/>
      </w:pPr>
      <w:r>
        <w:rPr>
          <w:rFonts w:ascii="Times New Roman"/>
          <w:b w:val="false"/>
          <w:i w:val="false"/>
          <w:color w:val="000000"/>
          <w:sz w:val="28"/>
        </w:rPr>
        <w:t>
      29. При планировании и проведении исследования используются следующие критерии включения субъектов в исследование:</w:t>
      </w:r>
    </w:p>
    <w:bookmarkEnd w:id="68"/>
    <w:bookmarkStart w:name="z77" w:id="69"/>
    <w:p>
      <w:pPr>
        <w:spacing w:after="0"/>
        <w:ind w:left="0"/>
        <w:jc w:val="both"/>
      </w:pPr>
      <w:r>
        <w:rPr>
          <w:rFonts w:ascii="Times New Roman"/>
          <w:b w:val="false"/>
          <w:i w:val="false"/>
          <w:color w:val="000000"/>
          <w:sz w:val="28"/>
        </w:rPr>
        <w:t>
      а) субъект имеет верифицированный диагноз "здоров";</w:t>
      </w:r>
    </w:p>
    <w:bookmarkEnd w:id="69"/>
    <w:bookmarkStart w:name="z78" w:id="70"/>
    <w:p>
      <w:pPr>
        <w:spacing w:after="0"/>
        <w:ind w:left="0"/>
        <w:jc w:val="both"/>
      </w:pPr>
      <w:r>
        <w:rPr>
          <w:rFonts w:ascii="Times New Roman"/>
          <w:b w:val="false"/>
          <w:i w:val="false"/>
          <w:color w:val="000000"/>
          <w:sz w:val="28"/>
        </w:rPr>
        <w:t>
      б) у субъекта наблюдается выраженное сужение сосудов в ответ на применение кортикостероидного лекарственного препарата для местного действия (субъект, ответивший на лечение);</w:t>
      </w:r>
    </w:p>
    <w:bookmarkEnd w:id="70"/>
    <w:bookmarkStart w:name="z79" w:id="71"/>
    <w:p>
      <w:pPr>
        <w:spacing w:after="0"/>
        <w:ind w:left="0"/>
        <w:jc w:val="both"/>
      </w:pPr>
      <w:r>
        <w:rPr>
          <w:rFonts w:ascii="Times New Roman"/>
          <w:b w:val="false"/>
          <w:i w:val="false"/>
          <w:color w:val="000000"/>
          <w:sz w:val="28"/>
        </w:rPr>
        <w:t>
      в) наличие подписанного информированного согласия субъекта;</w:t>
      </w:r>
    </w:p>
    <w:bookmarkEnd w:id="71"/>
    <w:bookmarkStart w:name="z80" w:id="72"/>
    <w:p>
      <w:pPr>
        <w:spacing w:after="0"/>
        <w:ind w:left="0"/>
        <w:jc w:val="both"/>
      </w:pPr>
      <w:r>
        <w:rPr>
          <w:rFonts w:ascii="Times New Roman"/>
          <w:b w:val="false"/>
          <w:i w:val="false"/>
          <w:color w:val="000000"/>
          <w:sz w:val="28"/>
        </w:rPr>
        <w:t>
      г) готовность субъекта соблюдать условия проведения исследования.</w:t>
      </w:r>
    </w:p>
    <w:bookmarkEnd w:id="72"/>
    <w:bookmarkStart w:name="z81" w:id="73"/>
    <w:p>
      <w:pPr>
        <w:spacing w:after="0"/>
        <w:ind w:left="0"/>
        <w:jc w:val="both"/>
      </w:pPr>
      <w:r>
        <w:rPr>
          <w:rFonts w:ascii="Times New Roman"/>
          <w:b w:val="false"/>
          <w:i w:val="false"/>
          <w:color w:val="000000"/>
          <w:sz w:val="28"/>
        </w:rPr>
        <w:t>
      3. Критерии невключения субъектов в исследование и критерии исключения субъектов из исследования</w:t>
      </w:r>
    </w:p>
    <w:bookmarkEnd w:id="73"/>
    <w:bookmarkStart w:name="z82" w:id="74"/>
    <w:p>
      <w:pPr>
        <w:spacing w:after="0"/>
        <w:ind w:left="0"/>
        <w:jc w:val="both"/>
      </w:pPr>
      <w:r>
        <w:rPr>
          <w:rFonts w:ascii="Times New Roman"/>
          <w:b w:val="false"/>
          <w:i w:val="false"/>
          <w:color w:val="000000"/>
          <w:sz w:val="28"/>
        </w:rPr>
        <w:t>
      30. При планировании и проведении исследования используются следующие критерии невключения субъектов в исследование (а также критерии исключения из исследования):</w:t>
      </w:r>
    </w:p>
    <w:bookmarkEnd w:id="74"/>
    <w:bookmarkStart w:name="z83" w:id="75"/>
    <w:p>
      <w:pPr>
        <w:spacing w:after="0"/>
        <w:ind w:left="0"/>
        <w:jc w:val="both"/>
      </w:pPr>
      <w:r>
        <w:rPr>
          <w:rFonts w:ascii="Times New Roman"/>
          <w:b w:val="false"/>
          <w:i w:val="false"/>
          <w:color w:val="000000"/>
          <w:sz w:val="28"/>
        </w:rPr>
        <w:t>
      а) клинически значимая артериальная гипертензия или болезни системы кровообращения;</w:t>
      </w:r>
    </w:p>
    <w:bookmarkEnd w:id="75"/>
    <w:bookmarkStart w:name="z84" w:id="76"/>
    <w:p>
      <w:pPr>
        <w:spacing w:after="0"/>
        <w:ind w:left="0"/>
        <w:jc w:val="both"/>
      </w:pPr>
      <w:r>
        <w:rPr>
          <w:rFonts w:ascii="Times New Roman"/>
          <w:b w:val="false"/>
          <w:i w:val="false"/>
          <w:color w:val="000000"/>
          <w:sz w:val="28"/>
        </w:rPr>
        <w:t>
      б) курение в течение 1 недели до начала исследования и во время исследования;</w:t>
      </w:r>
    </w:p>
    <w:bookmarkEnd w:id="76"/>
    <w:bookmarkStart w:name="z85" w:id="77"/>
    <w:p>
      <w:pPr>
        <w:spacing w:after="0"/>
        <w:ind w:left="0"/>
        <w:jc w:val="both"/>
      </w:pPr>
      <w:r>
        <w:rPr>
          <w:rFonts w:ascii="Times New Roman"/>
          <w:b w:val="false"/>
          <w:i w:val="false"/>
          <w:color w:val="000000"/>
          <w:sz w:val="28"/>
        </w:rPr>
        <w:t>
      в) потребление более 500 мг кофеина в день до начала или во время исследования (чашка кофе содержит около 85 мг кофеина);</w:t>
      </w:r>
    </w:p>
    <w:bookmarkEnd w:id="77"/>
    <w:bookmarkStart w:name="z86" w:id="78"/>
    <w:p>
      <w:pPr>
        <w:spacing w:after="0"/>
        <w:ind w:left="0"/>
        <w:jc w:val="both"/>
      </w:pPr>
      <w:r>
        <w:rPr>
          <w:rFonts w:ascii="Times New Roman"/>
          <w:b w:val="false"/>
          <w:i w:val="false"/>
          <w:color w:val="000000"/>
          <w:sz w:val="28"/>
        </w:rPr>
        <w:t>
      г) клинически значимая алкогольная или наркотическая зависимость в анамнезе;</w:t>
      </w:r>
    </w:p>
    <w:bookmarkEnd w:id="78"/>
    <w:bookmarkStart w:name="z87" w:id="79"/>
    <w:p>
      <w:pPr>
        <w:spacing w:after="0"/>
        <w:ind w:left="0"/>
        <w:jc w:val="both"/>
      </w:pPr>
      <w:r>
        <w:rPr>
          <w:rFonts w:ascii="Times New Roman"/>
          <w:b w:val="false"/>
          <w:i w:val="false"/>
          <w:color w:val="000000"/>
          <w:sz w:val="28"/>
        </w:rPr>
        <w:t>
      д) использование дерматологических лекарственных препаратов для местного применения, наносимых на переднюю поверхность предплечий (включая предшествующее нанесение кортикостероидного лекарственного препарата для местного применения на определенный участок кожи в ходе фармакодинамического исследования) в течение 1 месяца до начала исследования;</w:t>
      </w:r>
    </w:p>
    <w:bookmarkEnd w:id="79"/>
    <w:bookmarkStart w:name="z88" w:id="80"/>
    <w:p>
      <w:pPr>
        <w:spacing w:after="0"/>
        <w:ind w:left="0"/>
        <w:jc w:val="both"/>
      </w:pPr>
      <w:r>
        <w:rPr>
          <w:rFonts w:ascii="Times New Roman"/>
          <w:b w:val="false"/>
          <w:i w:val="false"/>
          <w:color w:val="000000"/>
          <w:sz w:val="28"/>
        </w:rPr>
        <w:t>
      е) нежелательные реакции на кортикостероидные лекарственные препараты местного или системного действия;</w:t>
      </w:r>
    </w:p>
    <w:bookmarkEnd w:id="80"/>
    <w:bookmarkStart w:name="z89" w:id="81"/>
    <w:p>
      <w:pPr>
        <w:spacing w:after="0"/>
        <w:ind w:left="0"/>
        <w:jc w:val="both"/>
      </w:pPr>
      <w:r>
        <w:rPr>
          <w:rFonts w:ascii="Times New Roman"/>
          <w:b w:val="false"/>
          <w:i w:val="false"/>
          <w:color w:val="000000"/>
          <w:sz w:val="28"/>
        </w:rPr>
        <w:t>
      ж) любое заболевание в анамнезе или в настоящее время (включая активный дерматит) или любое другое дерматологическое состояние, которые могут существенно повлиять на фармакодинамический ответ на вводимый лекарственный препарат;</w:t>
      </w:r>
    </w:p>
    <w:bookmarkEnd w:id="81"/>
    <w:bookmarkStart w:name="z90" w:id="82"/>
    <w:p>
      <w:pPr>
        <w:spacing w:after="0"/>
        <w:ind w:left="0"/>
        <w:jc w:val="both"/>
      </w:pPr>
      <w:r>
        <w:rPr>
          <w:rFonts w:ascii="Times New Roman"/>
          <w:b w:val="false"/>
          <w:i w:val="false"/>
          <w:color w:val="000000"/>
          <w:sz w:val="28"/>
        </w:rPr>
        <w:t>
      з) необходимость удаления с передних поверхностей предплечий субъекта волос, не позволяющих обеспечить нанесение соответствующей дозы лекарственного препарата на поверхность кожи;</w:t>
      </w:r>
    </w:p>
    <w:bookmarkEnd w:id="82"/>
    <w:bookmarkStart w:name="z91" w:id="83"/>
    <w:p>
      <w:pPr>
        <w:spacing w:after="0"/>
        <w:ind w:left="0"/>
        <w:jc w:val="both"/>
      </w:pPr>
      <w:r>
        <w:rPr>
          <w:rFonts w:ascii="Times New Roman"/>
          <w:b w:val="false"/>
          <w:i w:val="false"/>
          <w:color w:val="000000"/>
          <w:sz w:val="28"/>
        </w:rPr>
        <w:t>
      и) применение субъектом любых вазоактивных лекарственных препаратов, способных повлиять на кровоток (вазоконстрикторов или вазодилататоров), независимо от порядка отпуска этих лекарственных препаратов (по рецепту или без рецепта). Примерами таких лекарственных препаратов являются нитроглицерин, гипотензивные и антигистаминные лекарственные препараты, нестероидные противовоспалительные препараты (в том числе аспирин), сиропы от кашля или сиропы для симптоматического лечения острой респираторной вирусной инфекции, содержащие антигистаминные действующие вещества и (или) фенилпропаноламин, а также лекарственные препараты содержащие фентоламин;</w:t>
      </w:r>
    </w:p>
    <w:bookmarkEnd w:id="83"/>
    <w:bookmarkStart w:name="z92" w:id="84"/>
    <w:p>
      <w:pPr>
        <w:spacing w:after="0"/>
        <w:ind w:left="0"/>
        <w:jc w:val="both"/>
      </w:pPr>
      <w:r>
        <w:rPr>
          <w:rFonts w:ascii="Times New Roman"/>
          <w:b w:val="false"/>
          <w:i w:val="false"/>
          <w:color w:val="000000"/>
          <w:sz w:val="28"/>
        </w:rPr>
        <w:t>
      к) любое очевидное различие в цвете кожи рук субъекта.</w:t>
      </w:r>
    </w:p>
    <w:bookmarkEnd w:id="84"/>
    <w:bookmarkStart w:name="z93" w:id="85"/>
    <w:p>
      <w:pPr>
        <w:spacing w:after="0"/>
        <w:ind w:left="0"/>
        <w:jc w:val="left"/>
      </w:pPr>
      <w:r>
        <w:rPr>
          <w:rFonts w:ascii="Times New Roman"/>
          <w:b/>
          <w:i w:val="false"/>
          <w:color w:val="000000"/>
        </w:rPr>
        <w:t xml:space="preserve"> 4. Ограничения в отношении субъектов во время исследования</w:t>
      </w:r>
    </w:p>
    <w:bookmarkEnd w:id="85"/>
    <w:bookmarkStart w:name="z94" w:id="86"/>
    <w:p>
      <w:pPr>
        <w:spacing w:after="0"/>
        <w:ind w:left="0"/>
        <w:jc w:val="both"/>
      </w:pPr>
      <w:r>
        <w:rPr>
          <w:rFonts w:ascii="Times New Roman"/>
          <w:b w:val="false"/>
          <w:i w:val="false"/>
          <w:color w:val="000000"/>
          <w:sz w:val="28"/>
        </w:rPr>
        <w:t>
      31. Во время исследования в отношении субъектов устанавливаются следующие ограничения:</w:t>
      </w:r>
    </w:p>
    <w:bookmarkEnd w:id="86"/>
    <w:bookmarkStart w:name="z95" w:id="87"/>
    <w:p>
      <w:pPr>
        <w:spacing w:after="0"/>
        <w:ind w:left="0"/>
        <w:jc w:val="both"/>
      </w:pPr>
      <w:r>
        <w:rPr>
          <w:rFonts w:ascii="Times New Roman"/>
          <w:b w:val="false"/>
          <w:i w:val="false"/>
          <w:color w:val="000000"/>
          <w:sz w:val="28"/>
        </w:rPr>
        <w:t>
      а) не допускаются физическая нагрузка на руки, а также интенсивная физическая нагрузка на организм в целом;</w:t>
      </w:r>
    </w:p>
    <w:bookmarkEnd w:id="87"/>
    <w:bookmarkStart w:name="z96" w:id="88"/>
    <w:p>
      <w:pPr>
        <w:spacing w:after="0"/>
        <w:ind w:left="0"/>
        <w:jc w:val="both"/>
      </w:pPr>
      <w:r>
        <w:rPr>
          <w:rFonts w:ascii="Times New Roman"/>
          <w:b w:val="false"/>
          <w:i w:val="false"/>
          <w:color w:val="000000"/>
          <w:sz w:val="28"/>
        </w:rPr>
        <w:t>
      б) не допускается принимать ванну или душ в период нанесения лекарственного препарата и в период оценки реакции кожи;</w:t>
      </w:r>
    </w:p>
    <w:bookmarkEnd w:id="88"/>
    <w:bookmarkStart w:name="z97" w:id="89"/>
    <w:p>
      <w:pPr>
        <w:spacing w:after="0"/>
        <w:ind w:left="0"/>
        <w:jc w:val="both"/>
      </w:pPr>
      <w:r>
        <w:rPr>
          <w:rFonts w:ascii="Times New Roman"/>
          <w:b w:val="false"/>
          <w:i w:val="false"/>
          <w:color w:val="000000"/>
          <w:sz w:val="28"/>
        </w:rPr>
        <w:t>
      в) не допускается нанесение косметических продуктов в виде мягких форм (кремов, смягчающих средств или аналогичных продуктов) на предплечья в течение 24 часов до начала исследования и в течение всего периода исследования.</w:t>
      </w:r>
    </w:p>
    <w:bookmarkEnd w:id="89"/>
    <w:bookmarkStart w:name="z98" w:id="90"/>
    <w:p>
      <w:pPr>
        <w:spacing w:after="0"/>
        <w:ind w:left="0"/>
        <w:jc w:val="left"/>
      </w:pPr>
      <w:r>
        <w:rPr>
          <w:rFonts w:ascii="Times New Roman"/>
          <w:b/>
          <w:i w:val="false"/>
          <w:color w:val="000000"/>
        </w:rPr>
        <w:t xml:space="preserve"> 5. Скриниг субъектов, ответивших на лечение</w:t>
      </w:r>
    </w:p>
    <w:bookmarkEnd w:id="90"/>
    <w:bookmarkStart w:name="z99" w:id="91"/>
    <w:p>
      <w:pPr>
        <w:spacing w:after="0"/>
        <w:ind w:left="0"/>
        <w:jc w:val="both"/>
      </w:pPr>
      <w:r>
        <w:rPr>
          <w:rFonts w:ascii="Times New Roman"/>
          <w:b w:val="false"/>
          <w:i w:val="false"/>
          <w:color w:val="000000"/>
          <w:sz w:val="28"/>
        </w:rPr>
        <w:t>
      32. Включение в исследование субъектов, не ответивших на лечение, снижает возможность обнаружить по результатам исследования истинные различия между исследуемым и референтным лекарственными препаратами, если они существуют. Поэтому в пилотное исследование "длительность воздействия дозы – ответ" и опорное исследование биоэквивалентности необходимо включать только субъектов, ответивших на лечение.</w:t>
      </w:r>
    </w:p>
    <w:bookmarkEnd w:id="91"/>
    <w:bookmarkStart w:name="z100" w:id="92"/>
    <w:p>
      <w:pPr>
        <w:spacing w:after="0"/>
        <w:ind w:left="0"/>
        <w:jc w:val="both"/>
      </w:pPr>
      <w:r>
        <w:rPr>
          <w:rFonts w:ascii="Times New Roman"/>
          <w:b w:val="false"/>
          <w:i w:val="false"/>
          <w:color w:val="000000"/>
          <w:sz w:val="28"/>
        </w:rPr>
        <w:t>
      33. Количественная оценка побледнения кожи в пилотном и основном (опорном) исследованиях с помощью хромаметра считается наиболее приемлемой. Однако из-за дискретности балльной шкалы (0 – 3 или 0 – 4 баллов) для визуального считывания определение статуса субъекта, ответившего на лечение, может быть основано на визуальной оценке. Предлагаемая длительность воздействия дозы составляет 4 часа (для препаратов III группы активности) или 6 часов с оценкой побледнения кожи через 2 часа после удаления лекарственного препарата. У субъекта, ответившего на лечение, при визуальной оценке цвета кожи устанавливается изменение цвета по меньшей мере на 1 единицу.</w:t>
      </w:r>
    </w:p>
    <w:bookmarkEnd w:id="92"/>
    <w:bookmarkStart w:name="z101" w:id="93"/>
    <w:p>
      <w:pPr>
        <w:spacing w:after="0"/>
        <w:ind w:left="0"/>
        <w:jc w:val="both"/>
      </w:pPr>
      <w:r>
        <w:rPr>
          <w:rFonts w:ascii="Times New Roman"/>
          <w:b w:val="false"/>
          <w:i w:val="false"/>
          <w:color w:val="000000"/>
          <w:sz w:val="28"/>
        </w:rPr>
        <w:t>
      34. Чтобы сохранить участки кожи на предплечье для использования в исследованиях зависимости "длительность воздействия дозы – ответ" и исследованиях биоэквивалентности, для определения статуса субъекта, ответившего на лечение, исследования проводятся на других участках.</w:t>
      </w:r>
    </w:p>
    <w:bookmarkEnd w:id="93"/>
    <w:bookmarkStart w:name="z102" w:id="94"/>
    <w:p>
      <w:pPr>
        <w:spacing w:after="0"/>
        <w:ind w:left="0"/>
        <w:jc w:val="both"/>
      </w:pPr>
      <w:r>
        <w:rPr>
          <w:rFonts w:ascii="Times New Roman"/>
          <w:b w:val="false"/>
          <w:i w:val="false"/>
          <w:color w:val="000000"/>
          <w:sz w:val="28"/>
        </w:rPr>
        <w:t>
      35. В отчет об исследовании необходимо включить критерии определения субъектов, ответивших на лечение (включая длительность воздействия дозы, величину ответа и указание исследуемого участка кожи). Статус субъекта, ответившего на лечение, может быть также подтвержден участием в предшествующем исследовании с анализом сужения сосудов.</w:t>
      </w:r>
    </w:p>
    <w:bookmarkEnd w:id="94"/>
    <w:bookmarkStart w:name="z103" w:id="95"/>
    <w:p>
      <w:pPr>
        <w:spacing w:after="0"/>
        <w:ind w:left="0"/>
        <w:jc w:val="left"/>
      </w:pPr>
      <w:r>
        <w:rPr>
          <w:rFonts w:ascii="Times New Roman"/>
          <w:b/>
          <w:i w:val="false"/>
          <w:color w:val="000000"/>
        </w:rPr>
        <w:t xml:space="preserve"> 6. Валидация прецизионности аналитической методики</w:t>
      </w:r>
    </w:p>
    <w:bookmarkEnd w:id="95"/>
    <w:bookmarkStart w:name="z104" w:id="96"/>
    <w:p>
      <w:pPr>
        <w:spacing w:after="0"/>
        <w:ind w:left="0"/>
        <w:jc w:val="both"/>
      </w:pPr>
      <w:r>
        <w:rPr>
          <w:rFonts w:ascii="Times New Roman"/>
          <w:b w:val="false"/>
          <w:i w:val="false"/>
          <w:color w:val="000000"/>
          <w:sz w:val="28"/>
        </w:rPr>
        <w:t>
      36. Валидация прецизионности аналитической методики внутри участка кожи или между участками должна быть документирована у 4 – 6 субъектов, соответствующих критериям и ограничениям, изложенным в подразделах 2 – 4 настоящего раздела. Следует выбрать 4 необработанных контрольных участка на каждой передней поверхности предплечья. Четыре показания хромаметра следует снять для каждого участка в течение 1 часа.</w:t>
      </w:r>
    </w:p>
    <w:bookmarkEnd w:id="96"/>
    <w:bookmarkStart w:name="z105" w:id="97"/>
    <w:p>
      <w:pPr>
        <w:spacing w:after="0"/>
        <w:ind w:left="0"/>
        <w:jc w:val="both"/>
      </w:pPr>
      <w:r>
        <w:rPr>
          <w:rFonts w:ascii="Times New Roman"/>
          <w:b w:val="false"/>
          <w:i w:val="false"/>
          <w:color w:val="000000"/>
          <w:sz w:val="28"/>
        </w:rPr>
        <w:t>
      37. Валидационное исследование подтверждает приемлемую прецизионность с использованием хромаметра для измерения степени побледнения кожи организацией, проводящей исследование биоэквивалентности. Исследование необходимо провести до введения лекарственного препарата.</w:t>
      </w:r>
    </w:p>
    <w:bookmarkEnd w:id="97"/>
    <w:bookmarkStart w:name="z106" w:id="98"/>
    <w:p>
      <w:pPr>
        <w:spacing w:after="0"/>
        <w:ind w:left="0"/>
        <w:jc w:val="both"/>
      </w:pPr>
      <w:r>
        <w:rPr>
          <w:rFonts w:ascii="Times New Roman"/>
          <w:b w:val="false"/>
          <w:i w:val="false"/>
          <w:color w:val="000000"/>
          <w:sz w:val="28"/>
        </w:rPr>
        <w:t xml:space="preserve">
      38. Результаты необходимо изложить в отчете о пилотном исследовании (если такое исследование проводилось), а также в отчете об основном (опорном) исследовании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98"/>
    <w:bookmarkStart w:name="z107" w:id="99"/>
    <w:p>
      <w:pPr>
        <w:spacing w:after="0"/>
        <w:ind w:left="0"/>
        <w:jc w:val="left"/>
      </w:pPr>
      <w:r>
        <w:rPr>
          <w:rFonts w:ascii="Times New Roman"/>
          <w:b/>
          <w:i w:val="false"/>
          <w:color w:val="000000"/>
        </w:rPr>
        <w:t xml:space="preserve"> 7. Окклюзионное и неокклюзионное нанесение лекарственных препаратов</w:t>
      </w:r>
    </w:p>
    <w:bookmarkEnd w:id="99"/>
    <w:bookmarkStart w:name="z108" w:id="100"/>
    <w:p>
      <w:pPr>
        <w:spacing w:after="0"/>
        <w:ind w:left="0"/>
        <w:jc w:val="both"/>
      </w:pPr>
      <w:r>
        <w:rPr>
          <w:rFonts w:ascii="Times New Roman"/>
          <w:b w:val="false"/>
          <w:i w:val="false"/>
          <w:color w:val="000000"/>
          <w:sz w:val="28"/>
        </w:rPr>
        <w:t xml:space="preserve">
      39. Информация о кортикостероидных препаратах для местного применения допускает использование окклюзионной повязки в терапии псориаза или трудно поддающихся лечению заболеваний. В информации о кортикостероидном лекарственном препарате (общей характеристике лекарственного препарата, инструкции по медицинскому применению) приводятся сведения о возможности или недопустимости использования данных лекарственных препаратов с окклюзионными повязками. Если в информации о референтном кортикостероидном лекарственном препарате указано на допустимость использования окклюзионной повязки, пилотное исследование "длительность воздействия дозы – ответ" и основное (опорное) исследование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могут проводиться с использованием окклюзионной повязки. Однако такие исследования не являются предпочтительными, поскольку анализ ранее проведенных пилотных исследований позволяет предположить, что в таких условиях величина ED</w:t>
      </w:r>
      <w:r>
        <w:rPr>
          <w:rFonts w:ascii="Times New Roman"/>
          <w:b w:val="false"/>
          <w:i w:val="false"/>
          <w:color w:val="000000"/>
          <w:vertAlign w:val="subscript"/>
        </w:rPr>
        <w:t>50</w:t>
      </w:r>
      <w:r>
        <w:rPr>
          <w:rFonts w:ascii="Times New Roman"/>
          <w:b w:val="false"/>
          <w:i w:val="false"/>
          <w:color w:val="000000"/>
          <w:sz w:val="28"/>
        </w:rPr>
        <w:t xml:space="preserve"> (длительность воздействия дозы для использования в основном (опорном) исследовании) будет уменьшаться по мере увеличения активности кортикостероидных лекарственных препаратов для местного применения. Оценка зависимости "длительность воздействия дозы – ответ" требует данных меньшей длительности воздействия дозы, чем ED</w:t>
      </w:r>
      <w:r>
        <w:rPr>
          <w:rFonts w:ascii="Times New Roman"/>
          <w:b w:val="false"/>
          <w:i w:val="false"/>
          <w:color w:val="000000"/>
          <w:vertAlign w:val="subscript"/>
        </w:rPr>
        <w:t>50</w:t>
      </w:r>
      <w:r>
        <w:rPr>
          <w:rFonts w:ascii="Times New Roman"/>
          <w:b w:val="false"/>
          <w:i w:val="false"/>
          <w:color w:val="000000"/>
          <w:sz w:val="28"/>
        </w:rPr>
        <w:t>. Очень короткая длительность воздействия дозы вызывает сложности при проведении исследования и способствует высокой вариабельности ответа. Таким образом, применение окклюзии целесообразно только для лекарственных препаратов с более низкой активностью (например, для VI и VII групп активности). Если окклюзия используется для пилотного исследования, те же условия следует использовать в основном (опорном) исследовании.</w:t>
      </w:r>
    </w:p>
    <w:bookmarkEnd w:id="100"/>
    <w:bookmarkStart w:name="z109" w:id="101"/>
    <w:p>
      <w:pPr>
        <w:spacing w:after="0"/>
        <w:ind w:left="0"/>
        <w:jc w:val="left"/>
      </w:pPr>
      <w:r>
        <w:rPr>
          <w:rFonts w:ascii="Times New Roman"/>
          <w:b/>
          <w:i w:val="false"/>
          <w:color w:val="000000"/>
        </w:rPr>
        <w:t xml:space="preserve"> 8. Способы нанесения и удаления лекарственных препаратов</w:t>
      </w:r>
    </w:p>
    <w:bookmarkEnd w:id="101"/>
    <w:bookmarkStart w:name="z110" w:id="102"/>
    <w:p>
      <w:pPr>
        <w:spacing w:after="0"/>
        <w:ind w:left="0"/>
        <w:jc w:val="both"/>
      </w:pPr>
      <w:r>
        <w:rPr>
          <w:rFonts w:ascii="Times New Roman"/>
          <w:b w:val="false"/>
          <w:i w:val="false"/>
          <w:color w:val="000000"/>
          <w:sz w:val="28"/>
        </w:rPr>
        <w:t>
      40. В пилотном и основном (опорном) исследованиях приемлем любой из 2 способов нанесения и удаления лекарственного препарата:</w:t>
      </w:r>
    </w:p>
    <w:bookmarkEnd w:id="102"/>
    <w:bookmarkStart w:name="z111" w:id="103"/>
    <w:p>
      <w:pPr>
        <w:spacing w:after="0"/>
        <w:ind w:left="0"/>
        <w:jc w:val="both"/>
      </w:pPr>
      <w:r>
        <w:rPr>
          <w:rFonts w:ascii="Times New Roman"/>
          <w:b w:val="false"/>
          <w:i w:val="false"/>
          <w:color w:val="000000"/>
          <w:sz w:val="28"/>
        </w:rPr>
        <w:t>
      а) разнесенное по времени нанесение и синхронное удаление, когда лекарственный препарат наносится на участки кожи в разное время, а удаляется в одно и то же время. После синхронного измерения исходного уровня сужения сосудов образцы препарата наносятся за 6; 4; 2; 1,5; 1; 0,75; 0,5; 0,25 часа до синхронного удаления всех нанесенных образцов препарата с кожи. Оценка побледнения кожи проводится через 0 (в момент времени непосредственно после удаления препарата); 2, 4, 6, 19 и 24 часа после удаления препарата;</w:t>
      </w:r>
    </w:p>
    <w:bookmarkEnd w:id="103"/>
    <w:bookmarkStart w:name="z112" w:id="104"/>
    <w:p>
      <w:pPr>
        <w:spacing w:after="0"/>
        <w:ind w:left="0"/>
        <w:jc w:val="both"/>
      </w:pPr>
      <w:r>
        <w:rPr>
          <w:rFonts w:ascii="Times New Roman"/>
          <w:b w:val="false"/>
          <w:i w:val="false"/>
          <w:color w:val="000000"/>
          <w:sz w:val="28"/>
        </w:rPr>
        <w:t>
      б) синхронное нанесение и разнесенное по времени удаление, когда лекарственный препарат наносится на участки кожи в одно и то же время, а удаляется в разное время. После синхронного измерения исходного уровня сужения сосудов образцы препарата одновременно наносятся и затем удаляются спустя 0,25; 0,5; 0,75; 1; 1,5; 2; 4; 6 часов после нанесения. Оценка побледнения кожи проводится через 6, 8, 11, 24 и 28 часов после нанесения препарата.</w:t>
      </w:r>
    </w:p>
    <w:bookmarkEnd w:id="104"/>
    <w:bookmarkStart w:name="z113" w:id="105"/>
    <w:p>
      <w:pPr>
        <w:spacing w:after="0"/>
        <w:ind w:left="0"/>
        <w:jc w:val="left"/>
      </w:pPr>
      <w:r>
        <w:rPr>
          <w:rFonts w:ascii="Times New Roman"/>
          <w:b/>
          <w:i w:val="false"/>
          <w:color w:val="000000"/>
        </w:rPr>
        <w:t xml:space="preserve"> 9. Стандартизация активности субъектов исследования, во время участия в исследовании</w:t>
      </w:r>
    </w:p>
    <w:bookmarkEnd w:id="105"/>
    <w:bookmarkStart w:name="z114" w:id="106"/>
    <w:p>
      <w:pPr>
        <w:spacing w:after="0"/>
        <w:ind w:left="0"/>
        <w:jc w:val="both"/>
      </w:pPr>
      <w:r>
        <w:rPr>
          <w:rFonts w:ascii="Times New Roman"/>
          <w:b w:val="false"/>
          <w:i w:val="false"/>
          <w:color w:val="000000"/>
          <w:sz w:val="28"/>
        </w:rPr>
        <w:t>
      41. Все этапы и процедуры исследования у субъектов должны начинаться приблизительно в одно и то же время каждый день (допустимы отклонения в пределах 1 часа).</w:t>
      </w:r>
    </w:p>
    <w:bookmarkEnd w:id="106"/>
    <w:bookmarkStart w:name="z115" w:id="107"/>
    <w:p>
      <w:pPr>
        <w:spacing w:after="0"/>
        <w:ind w:left="0"/>
        <w:jc w:val="both"/>
      </w:pPr>
      <w:r>
        <w:rPr>
          <w:rFonts w:ascii="Times New Roman"/>
          <w:b w:val="false"/>
          <w:i w:val="false"/>
          <w:color w:val="000000"/>
          <w:sz w:val="28"/>
        </w:rPr>
        <w:t>
      Должна проводиться проверка соблюдения достаточного отмывочного периода относительно неразрешенных лекарственных препаратов.</w:t>
      </w:r>
    </w:p>
    <w:bookmarkEnd w:id="107"/>
    <w:bookmarkStart w:name="z116" w:id="108"/>
    <w:p>
      <w:pPr>
        <w:spacing w:after="0"/>
        <w:ind w:left="0"/>
        <w:jc w:val="both"/>
      </w:pPr>
      <w:r>
        <w:rPr>
          <w:rFonts w:ascii="Times New Roman"/>
          <w:b w:val="false"/>
          <w:i w:val="false"/>
          <w:color w:val="000000"/>
          <w:sz w:val="28"/>
        </w:rPr>
        <w:t>
      42. Предплечье субъекта исследования должно быть свободно от любых загрязнений или твердых частиц, которые способны препятствовать надлежащему нанесению лекарственного препарата или оценке фармакодинамического ответа. Проводить очищение кожи не рекомендуется из-за возможного влияния на процессы абсорбции действующего вещества и фармакодинамический ответ на лекарственный препарат. При необходимости очищение необходимо провести не менее чем за 2 часа до нанесения лекарственного препарата. Если очищение кожи проводилось, то информация о его проведении должна содержаться в отчете об исследовании.</w:t>
      </w:r>
    </w:p>
    <w:bookmarkEnd w:id="108"/>
    <w:bookmarkStart w:name="z117" w:id="109"/>
    <w:p>
      <w:pPr>
        <w:spacing w:after="0"/>
        <w:ind w:left="0"/>
        <w:jc w:val="both"/>
      </w:pPr>
      <w:r>
        <w:rPr>
          <w:rFonts w:ascii="Times New Roman"/>
          <w:b w:val="false"/>
          <w:i w:val="false"/>
          <w:color w:val="000000"/>
          <w:sz w:val="28"/>
        </w:rPr>
        <w:t>
      43. Вне зависимости от условий проведения исследования (с окклюзией или без окклюзии) рекомендуется использовать защитное средство, не создающее эффекта окклюзионной повязки, для предотвращения размазывания или удаления кортикостероидного лекарственного препарата для местного применения с участка кожи. Следует заботиться о недопущении контакта между защитным материалом и любым лекарственным препаратом с целью предотвращения непреднамеренной контаминации необработанных контрольных участков или других исследуемых участков.</w:t>
      </w:r>
    </w:p>
    <w:bookmarkEnd w:id="109"/>
    <w:bookmarkStart w:name="z118" w:id="110"/>
    <w:p>
      <w:pPr>
        <w:spacing w:after="0"/>
        <w:ind w:left="0"/>
        <w:jc w:val="both"/>
      </w:pPr>
      <w:r>
        <w:rPr>
          <w:rFonts w:ascii="Times New Roman"/>
          <w:b w:val="false"/>
          <w:i w:val="false"/>
          <w:color w:val="000000"/>
          <w:sz w:val="28"/>
        </w:rPr>
        <w:t>
      44. Участки кожи должны быть удалены от локтевой ямки или запястья по меньшей мере на 3 – 4 см.</w:t>
      </w:r>
    </w:p>
    <w:bookmarkEnd w:id="110"/>
    <w:bookmarkStart w:name="z119" w:id="111"/>
    <w:p>
      <w:pPr>
        <w:spacing w:after="0"/>
        <w:ind w:left="0"/>
        <w:jc w:val="both"/>
      </w:pPr>
      <w:r>
        <w:rPr>
          <w:rFonts w:ascii="Times New Roman"/>
          <w:b w:val="false"/>
          <w:i w:val="false"/>
          <w:color w:val="000000"/>
          <w:sz w:val="28"/>
        </w:rPr>
        <w:t>
      45. Референтный лекарственный препарат наносится на участки кожи одинаковой площади передних (внутренних) областей предплечий. Предлагаемая длительность воздействия дозы для пилотного исследования составляет 0,25; 0,5; 0,75; 1; 1,5; 2; 4 и 6 часов, но может меняться в зависимости от исследуемого кортикостероидного лекарственного препарата. 8 доз лекарственного препарата (то есть 8 участков кожи с нанесенным лекарственным препаратом (активные участки кожи)) должны быть поровну распределены между 2 руками субъекта исследований.</w:t>
      </w:r>
    </w:p>
    <w:bookmarkEnd w:id="111"/>
    <w:bookmarkStart w:name="z120" w:id="112"/>
    <w:p>
      <w:pPr>
        <w:spacing w:after="0"/>
        <w:ind w:left="0"/>
        <w:jc w:val="both"/>
      </w:pPr>
      <w:r>
        <w:rPr>
          <w:rFonts w:ascii="Times New Roman"/>
          <w:b w:val="false"/>
          <w:i w:val="false"/>
          <w:color w:val="000000"/>
          <w:sz w:val="28"/>
        </w:rPr>
        <w:t>
      46. Количество лекарственного препарата, размер участка кожи, а также расстояние между участками должны определяться исследовательским центром. В рамках исследования используются дозы 2 – 10 мг/см</w:t>
      </w:r>
      <w:r>
        <w:rPr>
          <w:rFonts w:ascii="Times New Roman"/>
          <w:b w:val="false"/>
          <w:i w:val="false"/>
          <w:color w:val="000000"/>
          <w:vertAlign w:val="superscript"/>
        </w:rPr>
        <w:t>2</w:t>
      </w:r>
      <w:r>
        <w:rPr>
          <w:rFonts w:ascii="Times New Roman"/>
          <w:b w:val="false"/>
          <w:i w:val="false"/>
          <w:color w:val="000000"/>
          <w:sz w:val="28"/>
        </w:rPr>
        <w:t xml:space="preserve"> поверхности кожи и участки диаметром 1 см, если специально не обосновано иное. Участки должны располагаться на расстоянии 2,5 см между центрами в ряд или в шахматном порядке в зависимости от пригодности поверхности кожи (например, васкуляризации, наличия родинок и т. д.) и длины руки. Необходимо исключить из анализа данных субъектов, у которых сосудосуживающие ответы 2 соседних участков перекрываются и исследователь не может различить сосудосуживающий ответ на каждом исследуемом участке.</w:t>
      </w:r>
    </w:p>
    <w:bookmarkEnd w:id="112"/>
    <w:bookmarkStart w:name="z121" w:id="113"/>
    <w:p>
      <w:pPr>
        <w:spacing w:after="0"/>
        <w:ind w:left="0"/>
        <w:jc w:val="both"/>
      </w:pPr>
      <w:r>
        <w:rPr>
          <w:rFonts w:ascii="Times New Roman"/>
          <w:b w:val="false"/>
          <w:i w:val="false"/>
          <w:color w:val="000000"/>
          <w:sz w:val="28"/>
        </w:rPr>
        <w:t>
      47. Включение субъекта в исследование на основе измерений хромаметра проводится после оценки хромаметром 2 необработанных контрольных участков кожи на каждой руке.</w:t>
      </w:r>
    </w:p>
    <w:bookmarkEnd w:id="113"/>
    <w:bookmarkStart w:name="z122" w:id="114"/>
    <w:p>
      <w:pPr>
        <w:spacing w:after="0"/>
        <w:ind w:left="0"/>
        <w:jc w:val="both"/>
      </w:pPr>
      <w:r>
        <w:rPr>
          <w:rFonts w:ascii="Times New Roman"/>
          <w:b w:val="false"/>
          <w:i w:val="false"/>
          <w:color w:val="000000"/>
          <w:sz w:val="28"/>
        </w:rPr>
        <w:t>
      48. Участки, на которые наносятся 8 доз с различной длительностью воздействия, и 4 контрольных необработанных участка случайным образом распределяются среди выбранных у субъекта 12 участков, при этом на каждой руке субъекта должны располагаться 6 участков: 2 необработанных контрольных участка и 4 участка с нанесенным кортикостероидным лекарственным препаратом.</w:t>
      </w:r>
    </w:p>
    <w:bookmarkEnd w:id="114"/>
    <w:bookmarkStart w:name="z123" w:id="115"/>
    <w:p>
      <w:pPr>
        <w:spacing w:after="0"/>
        <w:ind w:left="0"/>
        <w:jc w:val="both"/>
      </w:pPr>
      <w:r>
        <w:rPr>
          <w:rFonts w:ascii="Times New Roman"/>
          <w:b w:val="false"/>
          <w:i w:val="false"/>
          <w:color w:val="000000"/>
          <w:sz w:val="28"/>
        </w:rPr>
        <w:t>
      49. В исследованиях с визуальной оценкой не требуется выделение контрольных необработанных участков, поскольку оценивание предполагает визуальное сравнение обработанного участка и окружающей кожи. 8 доз кортикостероидного лекарственного препарата с различной длительностью воздействия случайным образом распределяются между двумя руками субъекта, при этом на каждой руке субъекта должно быть 4 участка с нанесенным кортикостероидным лекарственным препаратом.</w:t>
      </w:r>
    </w:p>
    <w:bookmarkEnd w:id="115"/>
    <w:bookmarkStart w:name="z124" w:id="116"/>
    <w:p>
      <w:pPr>
        <w:spacing w:after="0"/>
        <w:ind w:left="0"/>
        <w:jc w:val="both"/>
      </w:pPr>
      <w:r>
        <w:rPr>
          <w:rFonts w:ascii="Times New Roman"/>
          <w:b w:val="false"/>
          <w:i w:val="false"/>
          <w:color w:val="000000"/>
          <w:sz w:val="28"/>
        </w:rPr>
        <w:t>
      50. Перед измерением фармакодинамического ответа в конце периода наблюдения оставшийся после нанесения кортикостероидный лекарственный препарат для местного применения следует аккуратно удалить с поверхности кожи любым из следующих способов:</w:t>
      </w:r>
    </w:p>
    <w:bookmarkEnd w:id="116"/>
    <w:bookmarkStart w:name="z125" w:id="117"/>
    <w:p>
      <w:pPr>
        <w:spacing w:after="0"/>
        <w:ind w:left="0"/>
        <w:jc w:val="both"/>
      </w:pPr>
      <w:r>
        <w:rPr>
          <w:rFonts w:ascii="Times New Roman"/>
          <w:b w:val="false"/>
          <w:i w:val="false"/>
          <w:color w:val="000000"/>
          <w:sz w:val="28"/>
        </w:rPr>
        <w:t>
      а) 3 последовательных промокания сухим ватным тампоном для удаления остатков лекарственного препарата. Данный способ пригоден при нанесении лекарственного препарата в разное время с последующим синхронным удалением, а также при синхронном нанесении кортикостероидного лекарственного препарата на все участки с последующим удалением через разные промежутки времени;</w:t>
      </w:r>
    </w:p>
    <w:bookmarkEnd w:id="117"/>
    <w:bookmarkStart w:name="z126" w:id="118"/>
    <w:p>
      <w:pPr>
        <w:spacing w:after="0"/>
        <w:ind w:left="0"/>
        <w:jc w:val="both"/>
      </w:pPr>
      <w:r>
        <w:rPr>
          <w:rFonts w:ascii="Times New Roman"/>
          <w:b w:val="false"/>
          <w:i w:val="false"/>
          <w:color w:val="000000"/>
          <w:sz w:val="28"/>
        </w:rPr>
        <w:t>
      б) промывание всех участков кожи мягким моющим средством и водой, промокание досуха участков неабразивным полотенцем и высушивание на воздухе в течение, по меньшей мере 5 минут перед оценкой. Если спустя 5 минут на коже субъекта обнаруживаются видимые кожные эффекты, связанные с промыванием, требуется больше времени до оценки. Данный способ пригоден при нанесении кортикостероидного лекарственного препарата в разное время с последующим синхронным удалением. Очистка поверхности рук проводится с применением минимального количества мягкого моющего средства (например, 1 капля жидкого моющего средства вспенивается на влажной поверхности рук, а затем смывается).</w:t>
      </w:r>
    </w:p>
    <w:bookmarkEnd w:id="118"/>
    <w:bookmarkStart w:name="z127" w:id="119"/>
    <w:p>
      <w:pPr>
        <w:spacing w:after="0"/>
        <w:ind w:left="0"/>
        <w:jc w:val="both"/>
      </w:pPr>
      <w:r>
        <w:rPr>
          <w:rFonts w:ascii="Times New Roman"/>
          <w:b w:val="false"/>
          <w:i w:val="false"/>
          <w:color w:val="000000"/>
          <w:sz w:val="28"/>
        </w:rPr>
        <w:t>
      51. При нанесении лекарственного препарата в разное время с последующим синхронным удалением для всех длительностей воздействия дозы оценка исходного цвета кожи и побледнения кожи на каждом таком участке и необработанном контрольном участке проводится в течение 1 часа перед нанесением лекарственного препарата с наибольшей длительностью воздействия дозы и спустя 0, 2, 4, 6, 19 и 24 часа после удаления лекарственного препарата по схеме согласно приложению № 1. Точка "0" соответствует моменту удаления кортикостероидного лекарственного препарата.</w:t>
      </w:r>
    </w:p>
    <w:bookmarkEnd w:id="119"/>
    <w:bookmarkStart w:name="z128" w:id="120"/>
    <w:p>
      <w:pPr>
        <w:spacing w:after="0"/>
        <w:ind w:left="0"/>
        <w:jc w:val="both"/>
      </w:pPr>
      <w:r>
        <w:rPr>
          <w:rFonts w:ascii="Times New Roman"/>
          <w:b w:val="false"/>
          <w:i w:val="false"/>
          <w:color w:val="000000"/>
          <w:sz w:val="28"/>
        </w:rPr>
        <w:t>
      При одновременном нанесении кортикостероидного лекарственного препарата на все участки с последующим удалением через разные промежутки времени для всех длительностей воздействия доз оценка исходного цвета кожи и побледнения кожи на каждом таком участке и необработанном контрольном участке проводится в течение 1 часа перед нанесением кортикостероидного лекарственного препарата на активные участки и спустя 6, 8, 11, 24 и 28 часов после нанесения кортикостероидного лекарственного препарата по схеме согласно приложению № 2. Точка "0" соответствует моменту нанесения кортикостероидного лекарственного препарата.</w:t>
      </w:r>
    </w:p>
    <w:bookmarkEnd w:id="120"/>
    <w:bookmarkStart w:name="z129" w:id="121"/>
    <w:p>
      <w:pPr>
        <w:spacing w:after="0"/>
        <w:ind w:left="0"/>
        <w:jc w:val="both"/>
      </w:pPr>
      <w:r>
        <w:rPr>
          <w:rFonts w:ascii="Times New Roman"/>
          <w:b w:val="false"/>
          <w:i w:val="false"/>
          <w:color w:val="000000"/>
          <w:sz w:val="28"/>
        </w:rPr>
        <w:t>
      Оптимальное время оценки для любого метода нанесения и удаления может потребовать корректировки расписания оценки эффекта для конкретного кортикостероидного лекарственного препарата и исследуемого участка кожи. Для любого метода необходимо запланировать выполнение по меньшей мере одной оценки результата между 17 и 24 часами.</w:t>
      </w:r>
    </w:p>
    <w:bookmarkEnd w:id="121"/>
    <w:bookmarkStart w:name="z130" w:id="122"/>
    <w:p>
      <w:pPr>
        <w:spacing w:after="0"/>
        <w:ind w:left="0"/>
        <w:jc w:val="left"/>
      </w:pPr>
      <w:r>
        <w:rPr>
          <w:rFonts w:ascii="Times New Roman"/>
          <w:b/>
          <w:i w:val="false"/>
          <w:color w:val="000000"/>
        </w:rPr>
        <w:t xml:space="preserve"> 10. Анализ данных и фармакодинамическое моделирование</w:t>
      </w:r>
    </w:p>
    <w:bookmarkEnd w:id="122"/>
    <w:bookmarkStart w:name="z131" w:id="123"/>
    <w:p>
      <w:pPr>
        <w:spacing w:after="0"/>
        <w:ind w:left="0"/>
        <w:jc w:val="both"/>
      </w:pPr>
      <w:r>
        <w:rPr>
          <w:rFonts w:ascii="Times New Roman"/>
          <w:b w:val="false"/>
          <w:i w:val="false"/>
          <w:color w:val="000000"/>
          <w:sz w:val="28"/>
        </w:rPr>
        <w:t>
      52. Требуется поправка первичных показаний хромаметра для каждого профиля "побледнение кожи – время" (для участков с нанесением и контрольных участков без нанесения) относительно исходного уровня на этом участке. Показания хромаметра для каждого участка нанесения кортикостероидного лекарственного препарата после поправки относительно исходного уровня необходимо скорректировать по среднему значению из 2 контрольных участков на той же руке с поправкой относительно исходного уровня (таблицы 1 – 3 приложения № 4).</w:t>
      </w:r>
    </w:p>
    <w:bookmarkEnd w:id="123"/>
    <w:bookmarkStart w:name="z132" w:id="124"/>
    <w:p>
      <w:pPr>
        <w:spacing w:after="0"/>
        <w:ind w:left="0"/>
        <w:jc w:val="both"/>
      </w:pPr>
      <w:r>
        <w:rPr>
          <w:rFonts w:ascii="Times New Roman"/>
          <w:b w:val="false"/>
          <w:i w:val="false"/>
          <w:color w:val="000000"/>
          <w:sz w:val="28"/>
        </w:rPr>
        <w:t>
      Для каждой длительности воздействия дозы, скорректированной относительно исходного уровня и контрольным участкам (таблицы 1 и 4 приложения № 4) следует рассчитать методом трапеций одну из площадей под кривой ответа (AUEC):</w:t>
      </w:r>
    </w:p>
    <w:bookmarkEnd w:id="124"/>
    <w:bookmarkStart w:name="z133" w:id="125"/>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0-24</w:t>
      </w:r>
      <w:r>
        <w:rPr>
          <w:rFonts w:ascii="Times New Roman"/>
          <w:b w:val="false"/>
          <w:i w:val="false"/>
          <w:color w:val="000000"/>
          <w:sz w:val="28"/>
        </w:rPr>
        <w:t xml:space="preserve"> при нанесении лекарственного препарата в разное время с последующим синхронным удалением;</w:t>
      </w:r>
    </w:p>
    <w:bookmarkEnd w:id="125"/>
    <w:bookmarkStart w:name="z134" w:id="126"/>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6-28</w:t>
      </w:r>
      <w:r>
        <w:rPr>
          <w:rFonts w:ascii="Times New Roman"/>
          <w:b w:val="false"/>
          <w:i w:val="false"/>
          <w:color w:val="000000"/>
          <w:sz w:val="28"/>
        </w:rPr>
        <w:t xml:space="preserve"> при одновременном нанесении лекарственного препарата на все участки с последующим удалением через разные промежутки времени. Как правило рассчитывается AUEC для наибольшей длительности воздействия дозы до 28 часов после нанесения лекарственного препарата.</w:t>
      </w:r>
    </w:p>
    <w:bookmarkEnd w:id="126"/>
    <w:bookmarkStart w:name="z135" w:id="127"/>
    <w:p>
      <w:pPr>
        <w:spacing w:after="0"/>
        <w:ind w:left="0"/>
        <w:jc w:val="both"/>
      </w:pPr>
      <w:r>
        <w:rPr>
          <w:rFonts w:ascii="Times New Roman"/>
          <w:b w:val="false"/>
          <w:i w:val="false"/>
          <w:color w:val="000000"/>
          <w:sz w:val="28"/>
        </w:rPr>
        <w:t>
      53. Подгонка кривой для данных "длительность воздействия дозы – время" посредством использования усредненных по субъектам данных для каждой длительности воздействия дозы не допускается. Необходимо осуществлять подгонку кривой по всем результатам наблюдений в отношении всех субъектов.</w:t>
      </w:r>
    </w:p>
    <w:bookmarkEnd w:id="127"/>
    <w:bookmarkStart w:name="z136" w:id="128"/>
    <w:p>
      <w:pPr>
        <w:spacing w:after="0"/>
        <w:ind w:left="0"/>
        <w:jc w:val="both"/>
      </w:pPr>
      <w:r>
        <w:rPr>
          <w:rFonts w:ascii="Times New Roman"/>
          <w:b w:val="false"/>
          <w:i w:val="false"/>
          <w:color w:val="000000"/>
          <w:sz w:val="28"/>
        </w:rPr>
        <w:t>
      Программное обеспечение для моделирования должно позволять оценить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и E</w:t>
      </w:r>
      <w:r>
        <w:rPr>
          <w:rFonts w:ascii="Times New Roman"/>
          <w:b w:val="false"/>
          <w:i w:val="false"/>
          <w:color w:val="000000"/>
          <w:vertAlign w:val="subscript"/>
        </w:rPr>
        <w:t>max</w:t>
      </w:r>
      <w:r>
        <w:rPr>
          <w:rFonts w:ascii="Times New Roman"/>
          <w:b w:val="false"/>
          <w:i w:val="false"/>
          <w:color w:val="000000"/>
          <w:sz w:val="28"/>
        </w:rPr>
        <w:t xml:space="preserve"> для обобщенных данных 12 субъектов. Допустимы следующие методы подгонки кривой:</w:t>
      </w:r>
    </w:p>
    <w:bookmarkEnd w:id="128"/>
    <w:bookmarkStart w:name="z137" w:id="129"/>
    <w:p>
      <w:pPr>
        <w:spacing w:after="0"/>
        <w:ind w:left="0"/>
        <w:jc w:val="both"/>
      </w:pPr>
      <w:r>
        <w:rPr>
          <w:rFonts w:ascii="Times New Roman"/>
          <w:b w:val="false"/>
          <w:i w:val="false"/>
          <w:color w:val="000000"/>
          <w:sz w:val="28"/>
        </w:rPr>
        <w:t>
      подгонка кривой в предположении нелинейной модели со смешанными эффектами (популяционная модель) с использованием соответствующего программного обеспечения (рисунок 1 приложения № 1). Нелинейная модель со смешанными эффектами учитывает внутри- и межиндивидуальную вариабельность;</w:t>
      </w:r>
    </w:p>
    <w:bookmarkEnd w:id="129"/>
    <w:bookmarkStart w:name="z138" w:id="130"/>
    <w:p>
      <w:pPr>
        <w:spacing w:after="0"/>
        <w:ind w:left="0"/>
        <w:jc w:val="both"/>
      </w:pPr>
      <w:r>
        <w:rPr>
          <w:rFonts w:ascii="Times New Roman"/>
          <w:b w:val="false"/>
          <w:i w:val="false"/>
          <w:color w:val="000000"/>
          <w:sz w:val="28"/>
        </w:rPr>
        <w:t>
      подгонка кривой в предположении нелинейной регрессии методом наименьших квадратов с обобщением отдельных наблюдений всех субъектов (метод простого объединения данных).</w:t>
      </w:r>
    </w:p>
    <w:bookmarkEnd w:id="130"/>
    <w:bookmarkStart w:name="z139" w:id="131"/>
    <w:p>
      <w:pPr>
        <w:spacing w:after="0"/>
        <w:ind w:left="0"/>
        <w:jc w:val="both"/>
      </w:pPr>
      <w:r>
        <w:rPr>
          <w:rFonts w:ascii="Times New Roman"/>
          <w:b w:val="false"/>
          <w:i w:val="false"/>
          <w:color w:val="000000"/>
          <w:sz w:val="28"/>
        </w:rPr>
        <w:t>
      54. По результатам оценки данных моделирования определяются для использования в основном (опорном) исследовании:</w:t>
      </w:r>
    </w:p>
    <w:bookmarkEnd w:id="131"/>
    <w:bookmarkStart w:name="z140" w:id="132"/>
    <w:p>
      <w:pPr>
        <w:spacing w:after="0"/>
        <w:ind w:left="0"/>
        <w:jc w:val="both"/>
      </w:pPr>
      <w:r>
        <w:rPr>
          <w:rFonts w:ascii="Times New Roman"/>
          <w:b w:val="false"/>
          <w:i w:val="false"/>
          <w:color w:val="000000"/>
          <w:sz w:val="28"/>
        </w:rPr>
        <w:t>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 длительность воздействия дозы, соответствующая половине максимального ответа;</w:t>
      </w:r>
    </w:p>
    <w:bookmarkEnd w:id="132"/>
    <w:bookmarkStart w:name="z141" w:id="133"/>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длительность воздействия дозы, соответствующая приблизительно половине ED</w:t>
      </w:r>
      <w:r>
        <w:rPr>
          <w:rFonts w:ascii="Times New Roman"/>
          <w:b w:val="false"/>
          <w:i w:val="false"/>
          <w:color w:val="000000"/>
          <w:vertAlign w:val="subscript"/>
        </w:rPr>
        <w:t>50</w:t>
      </w:r>
      <w:r>
        <w:rPr>
          <w:rFonts w:ascii="Times New Roman"/>
          <w:b w:val="false"/>
          <w:i w:val="false"/>
          <w:color w:val="000000"/>
          <w:sz w:val="28"/>
        </w:rPr>
        <w:t>;</w:t>
      </w:r>
    </w:p>
    <w:bookmarkEnd w:id="133"/>
    <w:bookmarkStart w:name="z142" w:id="134"/>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длительность воздействия дозы, соответствующая приблизительно удвоенному значению ED</w:t>
      </w:r>
      <w:r>
        <w:rPr>
          <w:rFonts w:ascii="Times New Roman"/>
          <w:b w:val="false"/>
          <w:i w:val="false"/>
          <w:color w:val="000000"/>
          <w:vertAlign w:val="subscript"/>
        </w:rPr>
        <w:t>50</w:t>
      </w:r>
      <w:r>
        <w:rPr>
          <w:rFonts w:ascii="Times New Roman"/>
          <w:b w:val="false"/>
          <w:i w:val="false"/>
          <w:color w:val="000000"/>
          <w:sz w:val="28"/>
        </w:rPr>
        <w:t>.</w:t>
      </w:r>
    </w:p>
    <w:bookmarkEnd w:id="134"/>
    <w:bookmarkStart w:name="z143" w:id="135"/>
    <w:p>
      <w:pPr>
        <w:spacing w:after="0"/>
        <w:ind w:left="0"/>
        <w:jc w:val="both"/>
      </w:pPr>
      <w:r>
        <w:rPr>
          <w:rFonts w:ascii="Times New Roman"/>
          <w:b w:val="false"/>
          <w:i w:val="false"/>
          <w:color w:val="000000"/>
          <w:sz w:val="28"/>
        </w:rPr>
        <w:t>
      Наблюдаемое значение ED</w:t>
      </w:r>
      <w:r>
        <w:rPr>
          <w:rFonts w:ascii="Times New Roman"/>
          <w:b w:val="false"/>
          <w:i w:val="false"/>
          <w:color w:val="000000"/>
          <w:vertAlign w:val="subscript"/>
        </w:rPr>
        <w:t>50</w:t>
      </w:r>
      <w:r>
        <w:rPr>
          <w:rFonts w:ascii="Times New Roman"/>
          <w:b w:val="false"/>
          <w:i w:val="false"/>
          <w:color w:val="000000"/>
          <w:sz w:val="28"/>
        </w:rPr>
        <w:t xml:space="preserve"> может быть округлено до 15 минут для получения значения ED</w:t>
      </w:r>
      <w:r>
        <w:rPr>
          <w:rFonts w:ascii="Times New Roman"/>
          <w:b w:val="false"/>
          <w:i w:val="false"/>
          <w:color w:val="000000"/>
          <w:vertAlign w:val="subscript"/>
        </w:rPr>
        <w:t>50</w:t>
      </w:r>
      <w:r>
        <w:rPr>
          <w:rFonts w:ascii="Times New Roman"/>
          <w:b w:val="false"/>
          <w:i w:val="false"/>
          <w:color w:val="000000"/>
          <w:sz w:val="28"/>
        </w:rPr>
        <w:t>, используемого в основном (опорном) исследовании. Является приемлемым подтверждение зависимости "длительность воздействия дозы – ответ", основанное на D</w:t>
      </w:r>
      <w:r>
        <w:rPr>
          <w:rFonts w:ascii="Times New Roman"/>
          <w:b w:val="false"/>
          <w:i w:val="false"/>
          <w:color w:val="000000"/>
          <w:vertAlign w:val="subscript"/>
        </w:rPr>
        <w:t>1</w:t>
      </w:r>
      <w:r>
        <w:rPr>
          <w:rFonts w:ascii="Times New Roman"/>
          <w:b w:val="false"/>
          <w:i w:val="false"/>
          <w:color w:val="000000"/>
          <w:sz w:val="28"/>
        </w:rPr>
        <w:t>, составляющей 0,25 – 0,5 от наблюдаемой</w:t>
      </w:r>
      <w:r>
        <w:rPr>
          <w:rFonts w:ascii="Times New Roman"/>
          <w:b w:val="false"/>
          <w:i w:val="false"/>
          <w:color w:val="000000"/>
          <w:vertAlign w:val="subscript"/>
        </w:rPr>
        <w:t xml:space="preserve"> </w:t>
      </w:r>
      <w:r>
        <w:rPr>
          <w:rFonts w:ascii="Times New Roman"/>
          <w:b w:val="false"/>
          <w:i w:val="false"/>
          <w:color w:val="000000"/>
          <w:sz w:val="28"/>
        </w:rPr>
        <w:t>ED</w:t>
      </w:r>
      <w:r>
        <w:rPr>
          <w:rFonts w:ascii="Times New Roman"/>
          <w:b w:val="false"/>
          <w:i w:val="false"/>
          <w:color w:val="000000"/>
          <w:vertAlign w:val="subscript"/>
        </w:rPr>
        <w:t>50</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составляющей 2 – 4 от наблюдаемой</w:t>
      </w:r>
      <w:r>
        <w:rPr>
          <w:rFonts w:ascii="Times New Roman"/>
          <w:b w:val="false"/>
          <w:i w:val="false"/>
          <w:color w:val="000000"/>
          <w:vertAlign w:val="subscript"/>
        </w:rPr>
        <w:t xml:space="preserve"> </w:t>
      </w:r>
      <w:r>
        <w:rPr>
          <w:rFonts w:ascii="Times New Roman"/>
          <w:b w:val="false"/>
          <w:i w:val="false"/>
          <w:color w:val="000000"/>
          <w:sz w:val="28"/>
        </w:rPr>
        <w:t>ED</w:t>
      </w:r>
      <w:r>
        <w:rPr>
          <w:rFonts w:ascii="Times New Roman"/>
          <w:b w:val="false"/>
          <w:i w:val="false"/>
          <w:color w:val="000000"/>
          <w:vertAlign w:val="subscript"/>
        </w:rPr>
        <w:t>50</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Для активных кортикостероидных лекарственных препаратов с небольшими значениями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необходима корректировка этих рекомендаций. Эти значения "охватывают" ED</w:t>
      </w:r>
      <w:r>
        <w:rPr>
          <w:rFonts w:ascii="Times New Roman"/>
          <w:b w:val="false"/>
          <w:i w:val="false"/>
          <w:color w:val="000000"/>
          <w:vertAlign w:val="subscript"/>
        </w:rPr>
        <w:t>50</w:t>
      </w:r>
      <w:r>
        <w:rPr>
          <w:rFonts w:ascii="Times New Roman"/>
          <w:b w:val="false"/>
          <w:i w:val="false"/>
          <w:color w:val="000000"/>
          <w:sz w:val="28"/>
        </w:rPr>
        <w:t>, составляя приблизительно 33 % и 67 %, от максимального ответа соответственно и образуют чувствительную часть кривой "длительность воздействия дозы – ответ".</w:t>
      </w:r>
    </w:p>
    <w:bookmarkEnd w:id="135"/>
    <w:bookmarkStart w:name="z144" w:id="136"/>
    <w:p>
      <w:pPr>
        <w:spacing w:after="0"/>
        <w:ind w:left="0"/>
        <w:jc w:val="both"/>
      </w:pPr>
      <w:r>
        <w:rPr>
          <w:rFonts w:ascii="Times New Roman"/>
          <w:b w:val="false"/>
          <w:i w:val="false"/>
          <w:color w:val="000000"/>
          <w:sz w:val="28"/>
        </w:rPr>
        <w:t>
      55. Для данных полученных визуальным методом, проводится расчет:</w:t>
      </w:r>
    </w:p>
    <w:bookmarkEnd w:id="136"/>
    <w:bookmarkStart w:name="z145" w:id="137"/>
    <w:p>
      <w:pPr>
        <w:spacing w:after="0"/>
        <w:ind w:left="0"/>
        <w:jc w:val="both"/>
      </w:pPr>
      <w:r>
        <w:rPr>
          <w:rFonts w:ascii="Times New Roman"/>
          <w:b w:val="false"/>
          <w:i w:val="false"/>
          <w:color w:val="000000"/>
          <w:sz w:val="28"/>
        </w:rPr>
        <w:t>
      площади под кривой эффекта (AUEC) для каждого профиля "сужение сосудов – время";</w:t>
      </w:r>
    </w:p>
    <w:bookmarkEnd w:id="137"/>
    <w:bookmarkStart w:name="z146" w:id="138"/>
    <w:p>
      <w:pPr>
        <w:spacing w:after="0"/>
        <w:ind w:left="0"/>
        <w:jc w:val="both"/>
      </w:pPr>
      <w:r>
        <w:rPr>
          <w:rFonts w:ascii="Times New Roman"/>
          <w:b w:val="false"/>
          <w:i w:val="false"/>
          <w:color w:val="000000"/>
          <w:sz w:val="28"/>
        </w:rPr>
        <w:t>
      зависимости "длительность воздействия дозы – ответ" в соответствии с пунктом 54 настоящих Требований;</w:t>
      </w:r>
    </w:p>
    <w:bookmarkEnd w:id="138"/>
    <w:bookmarkStart w:name="z147" w:id="139"/>
    <w:p>
      <w:pPr>
        <w:spacing w:after="0"/>
        <w:ind w:left="0"/>
        <w:jc w:val="both"/>
      </w:pPr>
      <w:r>
        <w:rPr>
          <w:rFonts w:ascii="Times New Roman"/>
          <w:b w:val="false"/>
          <w:i w:val="false"/>
          <w:color w:val="000000"/>
          <w:sz w:val="28"/>
        </w:rPr>
        <w:t>
      показателей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w:t>
      </w:r>
    </w:p>
    <w:bookmarkEnd w:id="139"/>
    <w:bookmarkStart w:name="z148" w:id="140"/>
    <w:p>
      <w:pPr>
        <w:spacing w:after="0"/>
        <w:ind w:left="0"/>
        <w:jc w:val="both"/>
      </w:pPr>
      <w:r>
        <w:rPr>
          <w:rFonts w:ascii="Times New Roman"/>
          <w:b w:val="false"/>
          <w:i w:val="false"/>
          <w:color w:val="000000"/>
          <w:sz w:val="28"/>
        </w:rPr>
        <w:t xml:space="preserve">
      56. Если спонсор планирует обсудить вопросы, касающиеся валидации методики, профиля "длительность воздействия дозы – ответ" или других аспектов пилотного исследования "длительность воздействия дозы – ответ" до проведения основного (опорного)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биоэквивалентности, согласно </w:t>
      </w:r>
      <w:r>
        <w:rPr>
          <w:rFonts w:ascii="Times New Roman"/>
          <w:b w:val="false"/>
          <w:i w:val="false"/>
          <w:color w:val="000000"/>
          <w:sz w:val="28"/>
        </w:rPr>
        <w:t>пункту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спонсор клинического исследования вправе подать данные и резюме результатов пилотного исследования в уполномоченные органы (экспертные организации) государств-членов для проведения экспертизы значений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а также представить предполагаемый протокол основного (опорного) исследования для их оценки в рамках научной и предрегистрационной консультации в соответствии с законодательством государств-членов.</w:t>
      </w:r>
    </w:p>
    <w:bookmarkEnd w:id="140"/>
    <w:bookmarkStart w:name="z149" w:id="141"/>
    <w:p>
      <w:pPr>
        <w:spacing w:after="0"/>
        <w:ind w:left="0"/>
        <w:jc w:val="both"/>
      </w:pPr>
      <w:r>
        <w:rPr>
          <w:rFonts w:ascii="Times New Roman"/>
          <w:b w:val="false"/>
          <w:i w:val="false"/>
          <w:color w:val="000000"/>
          <w:sz w:val="28"/>
        </w:rPr>
        <w:t>
      При подаче результатов пилотного исследования спонсор вправе включить все данные исследования с обоснованием всех сведений, не включенных в фармакодинамический анализ.</w:t>
      </w:r>
    </w:p>
    <w:bookmarkEnd w:id="141"/>
    <w:bookmarkStart w:name="z150" w:id="142"/>
    <w:p>
      <w:pPr>
        <w:spacing w:after="0"/>
        <w:ind w:left="0"/>
        <w:jc w:val="both"/>
      </w:pPr>
      <w:r>
        <w:rPr>
          <w:rFonts w:ascii="Times New Roman"/>
          <w:b w:val="false"/>
          <w:i w:val="false"/>
          <w:color w:val="000000"/>
          <w:sz w:val="28"/>
        </w:rPr>
        <w:t>
      Спонсор вправе принять решение, что уже обладает достаточными сведениями о зависимости "длительность воздействия дозы – ответ" исследуемого кортикостероидного лекарственного препарата для местного применения для проведения основного (опорного) исследования без пилотного исследования. Данное решение должно основываться на известных значениях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соответствующего референтного лекарственного препарата в условиях клинического центра, что является неотъемлемой частью приемлемого основного (опорного) исследования. В целях одобрения данного решения спонсор вправе обратиться в уполномоченные органы (экспертные организации) государств-членов за научной или предрегистрационной консультацией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w:t>
      </w:r>
    </w:p>
    <w:bookmarkEnd w:id="142"/>
    <w:bookmarkStart w:name="z151" w:id="143"/>
    <w:p>
      <w:pPr>
        <w:spacing w:after="0"/>
        <w:ind w:left="0"/>
        <w:jc w:val="left"/>
      </w:pPr>
      <w:r>
        <w:rPr>
          <w:rFonts w:ascii="Times New Roman"/>
          <w:b/>
          <w:i w:val="false"/>
          <w:color w:val="000000"/>
        </w:rPr>
        <w:t xml:space="preserve"> Формат представления компьютерных данных.</w:t>
      </w:r>
    </w:p>
    <w:bookmarkEnd w:id="143"/>
    <w:bookmarkStart w:name="z152" w:id="144"/>
    <w:p>
      <w:pPr>
        <w:spacing w:after="0"/>
        <w:ind w:left="0"/>
        <w:jc w:val="both"/>
      </w:pPr>
      <w:r>
        <w:rPr>
          <w:rFonts w:ascii="Times New Roman"/>
          <w:b w:val="false"/>
          <w:i w:val="false"/>
          <w:color w:val="000000"/>
          <w:sz w:val="28"/>
        </w:rPr>
        <w:t>
      57. Первичные хромаметрические данные, скорректированные относительно исходного уровня данные, скорректированные относительно исходного уровня данные необработанных контрольных участков и данные AUEC должны быть представлены в виде отдельных файлов в табличном формате (примеры представлены в приложение № 3).</w:t>
      </w:r>
    </w:p>
    <w:bookmarkEnd w:id="144"/>
    <w:bookmarkStart w:name="z153" w:id="145"/>
    <w:p>
      <w:pPr>
        <w:spacing w:after="0"/>
        <w:ind w:left="0"/>
        <w:jc w:val="left"/>
      </w:pPr>
      <w:r>
        <w:rPr>
          <w:rFonts w:ascii="Times New Roman"/>
          <w:b/>
          <w:i w:val="false"/>
          <w:color w:val="000000"/>
        </w:rPr>
        <w:t xml:space="preserve"> V. Основное (опорное) исследование биоэквивалентности in vivo</w:t>
      </w:r>
    </w:p>
    <w:bookmarkEnd w:id="145"/>
    <w:bookmarkStart w:name="z154" w:id="146"/>
    <w:p>
      <w:pPr>
        <w:spacing w:after="0"/>
        <w:ind w:left="0"/>
        <w:jc w:val="both"/>
      </w:pPr>
      <w:r>
        <w:rPr>
          <w:rFonts w:ascii="Times New Roman"/>
          <w:b w:val="false"/>
          <w:i w:val="false"/>
          <w:color w:val="000000"/>
          <w:sz w:val="28"/>
        </w:rPr>
        <w:t xml:space="preserve">
      58. Целью основного (опорного) исследования является подтверждение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биоэквивалентности исследуемого кортикостероидного лекарственного препарата соответствующему референтному кортикостероидному лекарственному препарату. В настоящих Требованиях определено минимальное отношение для зависимости "длительность воздействия дозы – ответ", которое является условием включения субъектов в анализ данных. Поэтому в целом основное (опорное) исследование может начинаться без научного консультирования с уполномоченными органами (экспертными организациями) государств-членов.</w:t>
      </w:r>
    </w:p>
    <w:bookmarkEnd w:id="146"/>
    <w:bookmarkStart w:name="z155" w:id="147"/>
    <w:p>
      <w:pPr>
        <w:spacing w:after="0"/>
        <w:ind w:left="0"/>
        <w:jc w:val="left"/>
      </w:pPr>
      <w:r>
        <w:rPr>
          <w:rFonts w:ascii="Times New Roman"/>
          <w:b/>
          <w:i w:val="false"/>
          <w:color w:val="000000"/>
        </w:rPr>
        <w:t xml:space="preserve"> 1. Дизайн исследования</w:t>
      </w:r>
    </w:p>
    <w:bookmarkEnd w:id="147"/>
    <w:bookmarkStart w:name="z156" w:id="148"/>
    <w:p>
      <w:pPr>
        <w:spacing w:after="0"/>
        <w:ind w:left="0"/>
        <w:jc w:val="both"/>
      </w:pPr>
      <w:r>
        <w:rPr>
          <w:rFonts w:ascii="Times New Roman"/>
          <w:b w:val="false"/>
          <w:i w:val="false"/>
          <w:color w:val="000000"/>
          <w:sz w:val="28"/>
        </w:rPr>
        <w:t>
      59. Стандартным дизайном исследования является фармакодинамическое исследование биоэквивалентности с повторением длительностей воздействия однократных доз исследуемого и референтного кортикостероидных лекарственных препаратов в пределах одного дня и основанное на популяционном значении ED</w:t>
      </w:r>
      <w:r>
        <w:rPr>
          <w:rFonts w:ascii="Times New Roman"/>
          <w:b w:val="false"/>
          <w:i w:val="false"/>
          <w:color w:val="000000"/>
          <w:vertAlign w:val="subscript"/>
        </w:rPr>
        <w:t>50</w:t>
      </w:r>
      <w:r>
        <w:rPr>
          <w:rFonts w:ascii="Times New Roman"/>
          <w:b w:val="false"/>
          <w:i w:val="false"/>
          <w:color w:val="000000"/>
          <w:sz w:val="28"/>
        </w:rPr>
        <w:t>, установленном в пилотном исследовании.</w:t>
      </w:r>
    </w:p>
    <w:bookmarkEnd w:id="148"/>
    <w:bookmarkStart w:name="z157" w:id="149"/>
    <w:p>
      <w:pPr>
        <w:spacing w:after="0"/>
        <w:ind w:left="0"/>
        <w:jc w:val="both"/>
      </w:pPr>
      <w:r>
        <w:rPr>
          <w:rFonts w:ascii="Times New Roman"/>
          <w:b w:val="false"/>
          <w:i w:val="false"/>
          <w:color w:val="000000"/>
          <w:sz w:val="28"/>
        </w:rPr>
        <w:t>
      60. Минимальное значение индивидуального отношения показателей AUEC в дозах D</w:t>
      </w:r>
      <w:r>
        <w:rPr>
          <w:rFonts w:ascii="Times New Roman"/>
          <w:b w:val="false"/>
          <w:i w:val="false"/>
          <w:color w:val="000000"/>
          <w:vertAlign w:val="subscript"/>
        </w:rPr>
        <w:t>2</w:t>
      </w:r>
      <w:r>
        <w:rPr>
          <w:rFonts w:ascii="Times New Roman"/>
          <w:b w:val="false"/>
          <w:i w:val="false"/>
          <w:color w:val="000000"/>
          <w:sz w:val="28"/>
        </w:rPr>
        <w:t xml:space="preserve"> и D</w:t>
      </w:r>
      <w:r>
        <w:rPr>
          <w:rFonts w:ascii="Times New Roman"/>
          <w:b w:val="false"/>
          <w:i w:val="false"/>
          <w:color w:val="000000"/>
          <w:vertAlign w:val="subscript"/>
        </w:rPr>
        <w:t>1</w:t>
      </w:r>
      <w:r>
        <w:rPr>
          <w:rFonts w:ascii="Times New Roman"/>
          <w:b w:val="false"/>
          <w:i w:val="false"/>
          <w:color w:val="000000"/>
          <w:sz w:val="28"/>
        </w:rPr>
        <w:t xml:space="preserve"> для референтного кортикостероидного лекарственного препарата должно составлять 1,25. Соответствие данному критерию определяется повторным нанесением референтного кортикостероидного лекарственного препарата в дозе D</w:t>
      </w:r>
      <w:r>
        <w:rPr>
          <w:rFonts w:ascii="Times New Roman"/>
          <w:b w:val="false"/>
          <w:i w:val="false"/>
          <w:color w:val="000000"/>
          <w:vertAlign w:val="subscript"/>
        </w:rPr>
        <w:t>1</w:t>
      </w:r>
      <w:r>
        <w:rPr>
          <w:rFonts w:ascii="Times New Roman"/>
          <w:b w:val="false"/>
          <w:i w:val="false"/>
          <w:color w:val="000000"/>
          <w:sz w:val="28"/>
        </w:rPr>
        <w:t>, соответствующей приблизительно половине популяционной ED</w:t>
      </w:r>
      <w:r>
        <w:rPr>
          <w:rFonts w:ascii="Times New Roman"/>
          <w:b w:val="false"/>
          <w:i w:val="false"/>
          <w:color w:val="000000"/>
          <w:vertAlign w:val="subscript"/>
        </w:rPr>
        <w:t>50</w:t>
      </w:r>
      <w:r>
        <w:rPr>
          <w:rFonts w:ascii="Times New Roman"/>
          <w:b w:val="false"/>
          <w:i w:val="false"/>
          <w:color w:val="000000"/>
          <w:sz w:val="28"/>
        </w:rPr>
        <w:t>, и D</w:t>
      </w:r>
      <w:r>
        <w:rPr>
          <w:rFonts w:ascii="Times New Roman"/>
          <w:b w:val="false"/>
          <w:i w:val="false"/>
          <w:color w:val="000000"/>
          <w:vertAlign w:val="subscript"/>
        </w:rPr>
        <w:t>2</w:t>
      </w:r>
      <w:r>
        <w:rPr>
          <w:rFonts w:ascii="Times New Roman"/>
          <w:b w:val="false"/>
          <w:i w:val="false"/>
          <w:color w:val="000000"/>
          <w:sz w:val="28"/>
        </w:rPr>
        <w:t>, соответствующей приблизительно удвоенной популяционной ED</w:t>
      </w:r>
      <w:r>
        <w:rPr>
          <w:rFonts w:ascii="Times New Roman"/>
          <w:b w:val="false"/>
          <w:i w:val="false"/>
          <w:color w:val="000000"/>
          <w:vertAlign w:val="subscript"/>
        </w:rPr>
        <w:t>50</w:t>
      </w:r>
      <w:r>
        <w:rPr>
          <w:rFonts w:ascii="Times New Roman"/>
          <w:b w:val="false"/>
          <w:i w:val="false"/>
          <w:color w:val="000000"/>
          <w:sz w:val="28"/>
        </w:rPr>
        <w:t>.</w:t>
      </w:r>
    </w:p>
    <w:bookmarkEnd w:id="149"/>
    <w:bookmarkStart w:name="z158" w:id="150"/>
    <w:p>
      <w:pPr>
        <w:spacing w:after="0"/>
        <w:ind w:left="0"/>
        <w:jc w:val="both"/>
      </w:pPr>
      <w:r>
        <w:rPr>
          <w:rFonts w:ascii="Times New Roman"/>
          <w:b w:val="false"/>
          <w:i w:val="false"/>
          <w:color w:val="000000"/>
          <w:sz w:val="28"/>
        </w:rPr>
        <w:t>
      61. В исследование необходимо включить от 40 до 60 пригодных к оценке субъектов, то есть удовлетворяющих критериям "субъект ответивший на лечение" и "детектор" согласно пунктам 31-34, 68 настоящих Требований.</w:t>
      </w:r>
    </w:p>
    <w:bookmarkEnd w:id="150"/>
    <w:bookmarkStart w:name="z159" w:id="151"/>
    <w:p>
      <w:pPr>
        <w:spacing w:after="0"/>
        <w:ind w:left="0"/>
        <w:jc w:val="left"/>
      </w:pPr>
      <w:r>
        <w:rPr>
          <w:rFonts w:ascii="Times New Roman"/>
          <w:b/>
          <w:i w:val="false"/>
          <w:color w:val="000000"/>
        </w:rPr>
        <w:t xml:space="preserve"> 2. Критерии включения</w:t>
      </w:r>
    </w:p>
    <w:bookmarkEnd w:id="151"/>
    <w:bookmarkStart w:name="z160" w:id="152"/>
    <w:p>
      <w:pPr>
        <w:spacing w:after="0"/>
        <w:ind w:left="0"/>
        <w:jc w:val="both"/>
      </w:pPr>
      <w:r>
        <w:rPr>
          <w:rFonts w:ascii="Times New Roman"/>
          <w:b w:val="false"/>
          <w:i w:val="false"/>
          <w:color w:val="000000"/>
          <w:sz w:val="28"/>
        </w:rPr>
        <w:t xml:space="preserve">
      62. В исследовании применяют критерии включения, описанные в подразделе 2 раздела IV настоящих Требований. </w:t>
      </w:r>
    </w:p>
    <w:bookmarkEnd w:id="152"/>
    <w:bookmarkStart w:name="z161" w:id="153"/>
    <w:p>
      <w:pPr>
        <w:spacing w:after="0"/>
        <w:ind w:left="0"/>
        <w:jc w:val="left"/>
      </w:pPr>
      <w:r>
        <w:rPr>
          <w:rFonts w:ascii="Times New Roman"/>
          <w:b/>
          <w:i w:val="false"/>
          <w:color w:val="000000"/>
        </w:rPr>
        <w:t xml:space="preserve"> 3. Критерии не включения субъектов в исследование и критерии исключения субъектов из исследования</w:t>
      </w:r>
    </w:p>
    <w:bookmarkEnd w:id="153"/>
    <w:bookmarkStart w:name="z162" w:id="154"/>
    <w:p>
      <w:pPr>
        <w:spacing w:after="0"/>
        <w:ind w:left="0"/>
        <w:jc w:val="both"/>
      </w:pPr>
      <w:r>
        <w:rPr>
          <w:rFonts w:ascii="Times New Roman"/>
          <w:b w:val="false"/>
          <w:i w:val="false"/>
          <w:color w:val="000000"/>
          <w:sz w:val="28"/>
        </w:rPr>
        <w:t>
      63. В исследовании применяют критерии не включения и критерии исключения, описанные в подразделе 3 раздела IV настоящих Требований.</w:t>
      </w:r>
    </w:p>
    <w:bookmarkEnd w:id="154"/>
    <w:bookmarkStart w:name="z163" w:id="155"/>
    <w:p>
      <w:pPr>
        <w:spacing w:after="0"/>
        <w:ind w:left="0"/>
        <w:jc w:val="left"/>
      </w:pPr>
      <w:r>
        <w:rPr>
          <w:rFonts w:ascii="Times New Roman"/>
          <w:b/>
          <w:i w:val="false"/>
          <w:color w:val="000000"/>
        </w:rPr>
        <w:t xml:space="preserve"> 4. Ограничения в отношении субъектов</w:t>
      </w:r>
      <w:r>
        <w:br/>
      </w:r>
      <w:r>
        <w:rPr>
          <w:rFonts w:ascii="Times New Roman"/>
          <w:b/>
          <w:i w:val="false"/>
          <w:color w:val="000000"/>
        </w:rPr>
        <w:t>во время исследования</w:t>
      </w:r>
    </w:p>
    <w:bookmarkEnd w:id="155"/>
    <w:bookmarkStart w:name="z164" w:id="156"/>
    <w:p>
      <w:pPr>
        <w:spacing w:after="0"/>
        <w:ind w:left="0"/>
        <w:jc w:val="both"/>
      </w:pPr>
      <w:r>
        <w:rPr>
          <w:rFonts w:ascii="Times New Roman"/>
          <w:b w:val="false"/>
          <w:i w:val="false"/>
          <w:color w:val="000000"/>
          <w:sz w:val="28"/>
        </w:rPr>
        <w:t>
      64. Исследование имеет ограничения, описанные в подразделе 4 раздела IV настоящих Требований.</w:t>
      </w:r>
    </w:p>
    <w:bookmarkEnd w:id="156"/>
    <w:bookmarkStart w:name="z165" w:id="157"/>
    <w:p>
      <w:pPr>
        <w:spacing w:after="0"/>
        <w:ind w:left="0"/>
        <w:jc w:val="left"/>
      </w:pPr>
      <w:r>
        <w:rPr>
          <w:rFonts w:ascii="Times New Roman"/>
          <w:b/>
          <w:i w:val="false"/>
          <w:color w:val="000000"/>
        </w:rPr>
        <w:t xml:space="preserve"> 5. Скрининг субъектов, ответивших на лечение</w:t>
      </w:r>
    </w:p>
    <w:bookmarkEnd w:id="157"/>
    <w:bookmarkStart w:name="z166" w:id="158"/>
    <w:p>
      <w:pPr>
        <w:spacing w:after="0"/>
        <w:ind w:left="0"/>
        <w:jc w:val="both"/>
      </w:pPr>
      <w:r>
        <w:rPr>
          <w:rFonts w:ascii="Times New Roman"/>
          <w:b w:val="false"/>
          <w:i w:val="false"/>
          <w:color w:val="000000"/>
          <w:sz w:val="28"/>
        </w:rPr>
        <w:t>
      65. Исследование участников на отклик (скриниг субъектов, ответивших на лечение) описано в подразделе 5 раздела IV настоящих Требований.</w:t>
      </w:r>
    </w:p>
    <w:bookmarkEnd w:id="158"/>
    <w:bookmarkStart w:name="z167" w:id="159"/>
    <w:p>
      <w:pPr>
        <w:spacing w:after="0"/>
        <w:ind w:left="0"/>
        <w:jc w:val="left"/>
      </w:pPr>
      <w:r>
        <w:rPr>
          <w:rFonts w:ascii="Times New Roman"/>
          <w:b/>
          <w:i w:val="false"/>
          <w:color w:val="000000"/>
        </w:rPr>
        <w:t xml:space="preserve"> 6. Валидация прецизионности аналитической методики</w:t>
      </w:r>
    </w:p>
    <w:bookmarkEnd w:id="159"/>
    <w:bookmarkStart w:name="z168" w:id="160"/>
    <w:p>
      <w:pPr>
        <w:spacing w:after="0"/>
        <w:ind w:left="0"/>
        <w:jc w:val="both"/>
      </w:pPr>
      <w:r>
        <w:rPr>
          <w:rFonts w:ascii="Times New Roman"/>
          <w:b w:val="false"/>
          <w:i w:val="false"/>
          <w:color w:val="000000"/>
          <w:sz w:val="28"/>
        </w:rPr>
        <w:t>
      66. Валидация прецизионности аналитической методики описана в подразделе 6 раздела IV настоящих Требований.</w:t>
      </w:r>
    </w:p>
    <w:bookmarkEnd w:id="160"/>
    <w:bookmarkStart w:name="z169" w:id="161"/>
    <w:p>
      <w:pPr>
        <w:spacing w:after="0"/>
        <w:ind w:left="0"/>
        <w:jc w:val="left"/>
      </w:pPr>
      <w:r>
        <w:rPr>
          <w:rFonts w:ascii="Times New Roman"/>
          <w:b/>
          <w:i w:val="false"/>
          <w:color w:val="000000"/>
        </w:rPr>
        <w:t xml:space="preserve"> 7. Стандартизация активности субъектов исследования, во время участия в исследовании</w:t>
      </w:r>
    </w:p>
    <w:bookmarkEnd w:id="161"/>
    <w:bookmarkStart w:name="z170" w:id="162"/>
    <w:p>
      <w:pPr>
        <w:spacing w:after="0"/>
        <w:ind w:left="0"/>
        <w:jc w:val="both"/>
      </w:pPr>
      <w:r>
        <w:rPr>
          <w:rFonts w:ascii="Times New Roman"/>
          <w:b w:val="false"/>
          <w:i w:val="false"/>
          <w:color w:val="000000"/>
          <w:sz w:val="28"/>
        </w:rPr>
        <w:t>
      67. Стандартизация активности субъектов исследования, во время исследования выполняется в соответствии с требованиями подраздела 9 раздела IV настоящих Требований.</w:t>
      </w:r>
    </w:p>
    <w:bookmarkEnd w:id="162"/>
    <w:bookmarkStart w:name="z171" w:id="163"/>
    <w:p>
      <w:pPr>
        <w:spacing w:after="0"/>
        <w:ind w:left="0"/>
        <w:jc w:val="both"/>
      </w:pPr>
      <w:r>
        <w:rPr>
          <w:rFonts w:ascii="Times New Roman"/>
          <w:b w:val="false"/>
          <w:i w:val="false"/>
          <w:color w:val="000000"/>
          <w:sz w:val="28"/>
        </w:rPr>
        <w:t xml:space="preserve">
      68. Необходимо случайным образом распределять длительности воздействия исследуемых доз, нанесенных на участки кожи передней поверхности предплечий каждого субъекта согласно рекомендациям ниже. Участки нанесения могут быть с окклюзией или без окклюзии в соответствии с указаниями, приведенными в пункте 39 настоящих Требований, и результатам пилотного исследования. При проведении исследования на основе хромаметрических оценок на каждой руке также необходимо оставлять необработанные контрольные участки кожи. </w:t>
      </w:r>
    </w:p>
    <w:bookmarkEnd w:id="163"/>
    <w:bookmarkStart w:name="z172" w:id="164"/>
    <w:p>
      <w:pPr>
        <w:spacing w:after="0"/>
        <w:ind w:left="0"/>
        <w:jc w:val="both"/>
      </w:pPr>
      <w:r>
        <w:rPr>
          <w:rFonts w:ascii="Times New Roman"/>
          <w:b w:val="false"/>
          <w:i w:val="false"/>
          <w:color w:val="000000"/>
          <w:sz w:val="28"/>
        </w:rPr>
        <w:t>
      Участки с определением длительности воздействия дозы и контрольные участки на каждой руке должны включать в себя:</w:t>
      </w:r>
    </w:p>
    <w:bookmarkEnd w:id="164"/>
    <w:bookmarkStart w:name="z173" w:id="165"/>
    <w:p>
      <w:pPr>
        <w:spacing w:after="0"/>
        <w:ind w:left="0"/>
        <w:jc w:val="both"/>
      </w:pPr>
      <w:r>
        <w:rPr>
          <w:rFonts w:ascii="Times New Roman"/>
          <w:b w:val="false"/>
          <w:i w:val="false"/>
          <w:color w:val="000000"/>
          <w:sz w:val="28"/>
        </w:rPr>
        <w:t>
      участки с исследуемым лекарственным препаратом с длительностью воздействия дозы, приблизительно соответствующей ED</w:t>
      </w:r>
      <w:r>
        <w:rPr>
          <w:rFonts w:ascii="Times New Roman"/>
          <w:b w:val="false"/>
          <w:i w:val="false"/>
          <w:color w:val="000000"/>
          <w:vertAlign w:val="subscript"/>
        </w:rPr>
        <w:t>50</w:t>
      </w:r>
      <w:r>
        <w:rPr>
          <w:rFonts w:ascii="Times New Roman"/>
          <w:b w:val="false"/>
          <w:i w:val="false"/>
          <w:color w:val="000000"/>
          <w:sz w:val="28"/>
        </w:rPr>
        <w:t>, определенной для референтного лекарственного препарата в пилотном исследовании (2 участка на каждой руке);</w:t>
      </w:r>
    </w:p>
    <w:bookmarkEnd w:id="165"/>
    <w:bookmarkStart w:name="z174" w:id="166"/>
    <w:p>
      <w:pPr>
        <w:spacing w:after="0"/>
        <w:ind w:left="0"/>
        <w:jc w:val="both"/>
      </w:pPr>
      <w:r>
        <w:rPr>
          <w:rFonts w:ascii="Times New Roman"/>
          <w:b w:val="false"/>
          <w:i w:val="false"/>
          <w:color w:val="000000"/>
          <w:sz w:val="28"/>
        </w:rPr>
        <w:t>
      участки с референтным лекарственным препаратом с длительностью воздействия дозы, приблизительно соответствующей ED</w:t>
      </w:r>
      <w:r>
        <w:rPr>
          <w:rFonts w:ascii="Times New Roman"/>
          <w:b w:val="false"/>
          <w:i w:val="false"/>
          <w:color w:val="000000"/>
          <w:vertAlign w:val="subscript"/>
        </w:rPr>
        <w:t>50</w:t>
      </w:r>
      <w:r>
        <w:rPr>
          <w:rFonts w:ascii="Times New Roman"/>
          <w:b w:val="false"/>
          <w:i w:val="false"/>
          <w:color w:val="000000"/>
          <w:sz w:val="28"/>
        </w:rPr>
        <w:t>, как и для исследуемого лекарственного препарата (2 участка на каждой руке);</w:t>
      </w:r>
    </w:p>
    <w:bookmarkEnd w:id="166"/>
    <w:bookmarkStart w:name="z175" w:id="167"/>
    <w:p>
      <w:pPr>
        <w:spacing w:after="0"/>
        <w:ind w:left="0"/>
        <w:jc w:val="both"/>
      </w:pPr>
      <w:r>
        <w:rPr>
          <w:rFonts w:ascii="Times New Roman"/>
          <w:b w:val="false"/>
          <w:i w:val="false"/>
          <w:color w:val="000000"/>
          <w:sz w:val="28"/>
        </w:rPr>
        <w:t>
      участок с меньшей длительностью воздействия дозы референтного лекарственного препарата (1 участок на руку);</w:t>
      </w:r>
    </w:p>
    <w:bookmarkEnd w:id="167"/>
    <w:bookmarkStart w:name="z176" w:id="168"/>
    <w:p>
      <w:pPr>
        <w:spacing w:after="0"/>
        <w:ind w:left="0"/>
        <w:jc w:val="both"/>
      </w:pPr>
      <w:r>
        <w:rPr>
          <w:rFonts w:ascii="Times New Roman"/>
          <w:b w:val="false"/>
          <w:i w:val="false"/>
          <w:color w:val="000000"/>
          <w:sz w:val="28"/>
        </w:rPr>
        <w:t>
      участок с бóльшей длительностью воздействия дозы референтного лекарственного препарата (D</w:t>
      </w:r>
      <w:r>
        <w:rPr>
          <w:rFonts w:ascii="Times New Roman"/>
          <w:b w:val="false"/>
          <w:i w:val="false"/>
          <w:color w:val="000000"/>
          <w:vertAlign w:val="subscript"/>
        </w:rPr>
        <w:t>1</w:t>
      </w:r>
      <w:r>
        <w:rPr>
          <w:rFonts w:ascii="Times New Roman"/>
          <w:b w:val="false"/>
          <w:i w:val="false"/>
          <w:color w:val="000000"/>
          <w:sz w:val="28"/>
        </w:rPr>
        <w:t>) (1 участок на руку);</w:t>
      </w:r>
    </w:p>
    <w:bookmarkEnd w:id="168"/>
    <w:bookmarkStart w:name="z177" w:id="169"/>
    <w:p>
      <w:pPr>
        <w:spacing w:after="0"/>
        <w:ind w:left="0"/>
        <w:jc w:val="both"/>
      </w:pPr>
      <w:r>
        <w:rPr>
          <w:rFonts w:ascii="Times New Roman"/>
          <w:b w:val="false"/>
          <w:i w:val="false"/>
          <w:color w:val="000000"/>
          <w:sz w:val="28"/>
        </w:rPr>
        <w:t>
      контрольные участки без нанесения (2 участка на каждую руку).</w:t>
      </w:r>
    </w:p>
    <w:bookmarkEnd w:id="169"/>
    <w:bookmarkStart w:name="z178" w:id="170"/>
    <w:p>
      <w:pPr>
        <w:spacing w:after="0"/>
        <w:ind w:left="0"/>
        <w:jc w:val="both"/>
      </w:pPr>
      <w:r>
        <w:rPr>
          <w:rFonts w:ascii="Times New Roman"/>
          <w:b w:val="false"/>
          <w:i w:val="false"/>
          <w:color w:val="000000"/>
          <w:sz w:val="28"/>
        </w:rPr>
        <w:t>
      Общее число исследуемых участков составляет 16 (по 8 участков на каждой руке). 8 нанесений следует рандомизировать, как указано выше. Схемы нанесения на каждой руке должны быть комплементарны, то есть D</w:t>
      </w:r>
      <w:r>
        <w:rPr>
          <w:rFonts w:ascii="Times New Roman"/>
          <w:b w:val="false"/>
          <w:i w:val="false"/>
          <w:color w:val="000000"/>
          <w:vertAlign w:val="subscript"/>
        </w:rPr>
        <w:t>2</w:t>
      </w:r>
      <w:r>
        <w:rPr>
          <w:rFonts w:ascii="Times New Roman"/>
          <w:b w:val="false"/>
          <w:i w:val="false"/>
          <w:color w:val="000000"/>
          <w:sz w:val="28"/>
        </w:rPr>
        <w:t xml:space="preserve"> является комплементарным D</w:t>
      </w:r>
      <w:r>
        <w:rPr>
          <w:rFonts w:ascii="Times New Roman"/>
          <w:b w:val="false"/>
          <w:i w:val="false"/>
          <w:color w:val="000000"/>
          <w:vertAlign w:val="subscript"/>
        </w:rPr>
        <w:t>1</w:t>
      </w:r>
      <w:r>
        <w:rPr>
          <w:rFonts w:ascii="Times New Roman"/>
          <w:b w:val="false"/>
          <w:i w:val="false"/>
          <w:color w:val="000000"/>
          <w:sz w:val="28"/>
        </w:rPr>
        <w:t>, участки нанесения референтного лекарственного препарата комплементарны участкам нанесения исследуемого лекарственного препарата, а также комплементарны контрольные участки. Например, нанесение референтного лекарственного препарата на определенный участок кожи на одной руке предполагает нанесение референтного лекарственного препарата на соответствующий участок кожи на другой руке. При определении участка кожи на одной руке как контрольного, соответствующий участок на второй руке также становится контрольным.</w:t>
      </w:r>
    </w:p>
    <w:bookmarkEnd w:id="170"/>
    <w:bookmarkStart w:name="z179" w:id="171"/>
    <w:p>
      <w:pPr>
        <w:spacing w:after="0"/>
        <w:ind w:left="0"/>
        <w:jc w:val="both"/>
      </w:pPr>
      <w:r>
        <w:rPr>
          <w:rFonts w:ascii="Times New Roman"/>
          <w:b w:val="false"/>
          <w:i w:val="false"/>
          <w:color w:val="000000"/>
          <w:sz w:val="28"/>
        </w:rPr>
        <w:t>
      В качестве репрезентативной последовательности нанесения длительностей воздействия доз для каждого конкретного субъекта допускается использовать следующий порядок:</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Локтевая ямка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рука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ИП – исследуемый лекарственный препарат;</w:t>
            </w:r>
            <w:r>
              <w:br/>
            </w:r>
            <w:r>
              <w:rPr>
                <w:rFonts w:ascii="Times New Roman"/>
                <w:b w:val="false"/>
                <w:i w:val="false"/>
                <w:color w:val="000000"/>
                <w:sz w:val="20"/>
              </w:rPr>
              <w:t>РП – референтный лекарственный препарат;</w:t>
            </w:r>
            <w:r>
              <w:br/>
            </w:r>
            <w:r>
              <w:rPr>
                <w:rFonts w:ascii="Times New Roman"/>
                <w:b w:val="false"/>
                <w:i w:val="false"/>
                <w:color w:val="000000"/>
                <w:sz w:val="20"/>
              </w:rPr>
              <w:t>К – контрольный участок;</w:t>
            </w:r>
          </w:p>
        </w:tc>
      </w:tr>
    </w:tbl>
    <w:bookmarkStart w:name="z180" w:id="172"/>
    <w:p>
      <w:pPr>
        <w:spacing w:after="0"/>
        <w:ind w:left="0"/>
        <w:jc w:val="both"/>
      </w:pPr>
      <w:r>
        <w:rPr>
          <w:rFonts w:ascii="Times New Roman"/>
          <w:b w:val="false"/>
          <w:i w:val="false"/>
          <w:color w:val="000000"/>
          <w:sz w:val="28"/>
        </w:rPr>
        <w:t>
      69. Обязанностью спонсора является описание точной схемы участков нанесения лекарственных препаратов на кожу, то есть медиальное (ульнарное) и латеральное (радиальное) расположение участков по отношению к оси тела, а также расположение участков выше и ниже по отношению друг к другу.</w:t>
      </w:r>
    </w:p>
    <w:bookmarkEnd w:id="172"/>
    <w:bookmarkStart w:name="z181" w:id="173"/>
    <w:p>
      <w:pPr>
        <w:spacing w:after="0"/>
        <w:ind w:left="0"/>
        <w:jc w:val="both"/>
      </w:pPr>
      <w:r>
        <w:rPr>
          <w:rFonts w:ascii="Times New Roman"/>
          <w:b w:val="false"/>
          <w:i w:val="false"/>
          <w:color w:val="000000"/>
          <w:sz w:val="28"/>
        </w:rPr>
        <w:t>
      70. Для оценки длительности воздействия дозы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используется метод разнесенного по времени нанесения лекарственного препарата и синхронного удаления или метод синхронного нанесения лекарственного препарата и разнесенного по времени удаления в соответствии с методологией, использованной в пилотном исследовании.</w:t>
      </w:r>
    </w:p>
    <w:bookmarkEnd w:id="173"/>
    <w:bookmarkStart w:name="z182" w:id="174"/>
    <w:p>
      <w:pPr>
        <w:spacing w:after="0"/>
        <w:ind w:left="0"/>
        <w:jc w:val="both"/>
      </w:pPr>
      <w:r>
        <w:rPr>
          <w:rFonts w:ascii="Times New Roman"/>
          <w:b w:val="false"/>
          <w:i w:val="false"/>
          <w:color w:val="000000"/>
          <w:sz w:val="28"/>
        </w:rPr>
        <w:t>
      При разнесенном по времени нанесении и синхронном удалении для любой длительности воздействия дозы и необработанных контрольных участков исходная оценка проводится в течение 1 часа перед нанесением лекарственного препарата с наибольшей длительностью воздействия дозы и спустя 0, 2, 4, 6, 19 и 24 часа после удаления лекарственного препарата. Фактическое время будет зависеть от времени дозирования и исследуемого кортикостероидного лекарственного препарата для местного применения. Точка "0" соответствует моменту удаления лекарственного препарата.</w:t>
      </w:r>
    </w:p>
    <w:bookmarkEnd w:id="174"/>
    <w:bookmarkStart w:name="z183" w:id="175"/>
    <w:p>
      <w:pPr>
        <w:spacing w:after="0"/>
        <w:ind w:left="0"/>
        <w:jc w:val="both"/>
      </w:pPr>
      <w:r>
        <w:rPr>
          <w:rFonts w:ascii="Times New Roman"/>
          <w:b w:val="false"/>
          <w:i w:val="false"/>
          <w:color w:val="000000"/>
          <w:sz w:val="28"/>
        </w:rPr>
        <w:t>
      При синхронном нанесении и разнесенном по времени удалении для любой длительности воздействия дозы и необработанных контрольных участков исходная оценка проводится в течение 1 часа перед нанесением лекарственного препарата на активные участки, побледнение кожи оценивается после нанесения лекарственного препарата в точке D</w:t>
      </w:r>
      <w:r>
        <w:rPr>
          <w:rFonts w:ascii="Times New Roman"/>
          <w:b w:val="false"/>
          <w:i w:val="false"/>
          <w:color w:val="000000"/>
          <w:vertAlign w:val="subscript"/>
        </w:rPr>
        <w:t>2</w:t>
      </w:r>
      <w:r>
        <w:rPr>
          <w:rFonts w:ascii="Times New Roman"/>
          <w:b w:val="false"/>
          <w:i w:val="false"/>
          <w:color w:val="000000"/>
          <w:sz w:val="28"/>
        </w:rPr>
        <w:t xml:space="preserve"> и спустя 6, 8, 11, 24 и 28 часов. Фактическое время будет зависеть от времени дозирования и исследуемого кортикостероидного лекарственного препарата. Точка "0" соответствует моменту нанесения лекарственного препарата. Если D</w:t>
      </w:r>
      <w:r>
        <w:rPr>
          <w:rFonts w:ascii="Times New Roman"/>
          <w:b w:val="false"/>
          <w:i w:val="false"/>
          <w:color w:val="000000"/>
          <w:vertAlign w:val="subscript"/>
        </w:rPr>
        <w:t>2</w:t>
      </w:r>
      <w:r>
        <w:rPr>
          <w:rFonts w:ascii="Times New Roman"/>
          <w:b w:val="false"/>
          <w:i w:val="false"/>
          <w:color w:val="000000"/>
          <w:sz w:val="28"/>
        </w:rPr>
        <w:t xml:space="preserve"> для определенного лекарственного препарата составляет, например, 4 часа, первая после исходной оценка побледнения на всех участках кожи с нанесением лекарственного препарата и контрольных участках проводится через 4 часа. Для любого метода необходимо запланировать по меньшей мере 1 оценку между 17 часами и 24 часами.</w:t>
      </w:r>
    </w:p>
    <w:bookmarkEnd w:id="175"/>
    <w:bookmarkStart w:name="z184" w:id="176"/>
    <w:p>
      <w:pPr>
        <w:spacing w:after="0"/>
        <w:ind w:left="0"/>
        <w:jc w:val="left"/>
      </w:pPr>
      <w:r>
        <w:rPr>
          <w:rFonts w:ascii="Times New Roman"/>
          <w:b/>
          <w:i w:val="false"/>
          <w:color w:val="000000"/>
        </w:rPr>
        <w:t xml:space="preserve"> 8. Анализ данных и статистический анализ</w:t>
      </w:r>
    </w:p>
    <w:bookmarkEnd w:id="176"/>
    <w:bookmarkStart w:name="z185" w:id="177"/>
    <w:p>
      <w:pPr>
        <w:spacing w:after="0"/>
        <w:ind w:left="0"/>
        <w:jc w:val="left"/>
      </w:pPr>
      <w:r>
        <w:rPr>
          <w:rFonts w:ascii="Times New Roman"/>
          <w:b/>
          <w:i w:val="false"/>
          <w:color w:val="000000"/>
        </w:rPr>
        <w:t xml:space="preserve"> Анализ данных</w:t>
      </w:r>
    </w:p>
    <w:bookmarkEnd w:id="177"/>
    <w:bookmarkStart w:name="z186" w:id="178"/>
    <w:p>
      <w:pPr>
        <w:spacing w:after="0"/>
        <w:ind w:left="0"/>
        <w:jc w:val="both"/>
      </w:pPr>
      <w:r>
        <w:rPr>
          <w:rFonts w:ascii="Times New Roman"/>
          <w:b w:val="false"/>
          <w:i w:val="false"/>
          <w:color w:val="000000"/>
          <w:sz w:val="28"/>
        </w:rPr>
        <w:t>
      71. Необходима поправка первичных показаний хромаметра для каждого профиля "побледнение кожи – время" (для участков с нанесенным лекарственным препаратом и контрольных участков без нанесения) на исходное значение на данном участке. Следует скорректировать каждый участок нанесения лекарственного препарата после поправки относительно исходного уровня по среднему значению из 2 контрольных участков на той же руке с поправкой относительно исходного уровня (таблицы 1 – 4 приложения № 4 к настоящим Требованиям).</w:t>
      </w:r>
    </w:p>
    <w:bookmarkEnd w:id="178"/>
    <w:bookmarkStart w:name="z187" w:id="179"/>
    <w:p>
      <w:pPr>
        <w:spacing w:after="0"/>
        <w:ind w:left="0"/>
        <w:jc w:val="both"/>
      </w:pPr>
      <w:r>
        <w:rPr>
          <w:rFonts w:ascii="Times New Roman"/>
          <w:b w:val="false"/>
          <w:i w:val="false"/>
          <w:color w:val="000000"/>
          <w:sz w:val="28"/>
        </w:rPr>
        <w:t>
      Следует рассчитать AUEC для каждой скорректированной относительно исходного уровня длительности воздействия дозы на контрольных участках (таблицы 3 – 6 приложения № 4):</w:t>
      </w:r>
    </w:p>
    <w:bookmarkEnd w:id="179"/>
    <w:bookmarkStart w:name="z188" w:id="180"/>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(0-24)</w:t>
      </w:r>
      <w:r>
        <w:rPr>
          <w:rFonts w:ascii="Times New Roman"/>
          <w:b w:val="false"/>
          <w:i w:val="false"/>
          <w:color w:val="000000"/>
          <w:sz w:val="28"/>
        </w:rPr>
        <w:t xml:space="preserve"> для нанесения препарата в разное время с последующим синхронным удалением;</w:t>
      </w:r>
    </w:p>
    <w:bookmarkEnd w:id="180"/>
    <w:bookmarkStart w:name="z189" w:id="181"/>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w:t>
      </w:r>
      <w:r>
        <w:rPr>
          <w:rFonts w:ascii="Times New Roman"/>
          <w:b w:val="false"/>
          <w:i w:val="false"/>
          <w:color w:val="000000"/>
          <w:vertAlign w:val="subscript"/>
        </w:rPr>
        <w:t>D</w:t>
      </w:r>
      <w:r>
        <w:rPr>
          <w:rFonts w:ascii="Times New Roman"/>
          <w:b w:val="false"/>
          <w:i w:val="false"/>
          <w:color w:val="000000"/>
          <w:vertAlign w:val="subscript"/>
        </w:rPr>
        <w:t>2-28)</w:t>
      </w:r>
      <w:r>
        <w:rPr>
          <w:rFonts w:ascii="Times New Roman"/>
          <w:b w:val="false"/>
          <w:i w:val="false"/>
          <w:color w:val="000000"/>
          <w:sz w:val="28"/>
        </w:rPr>
        <w:t xml:space="preserve"> (от времени D</w:t>
      </w:r>
      <w:r>
        <w:rPr>
          <w:rFonts w:ascii="Times New Roman"/>
          <w:b w:val="false"/>
          <w:i w:val="false"/>
          <w:color w:val="000000"/>
          <w:vertAlign w:val="subscript"/>
        </w:rPr>
        <w:t>2</w:t>
      </w:r>
      <w:r>
        <w:rPr>
          <w:rFonts w:ascii="Times New Roman"/>
          <w:b w:val="false"/>
          <w:i w:val="false"/>
          <w:color w:val="000000"/>
          <w:sz w:val="28"/>
        </w:rPr>
        <w:t xml:space="preserve"> до 28 часов) для синхронного нанесения препарата с последующим удалением в разное время.</w:t>
      </w:r>
    </w:p>
    <w:bookmarkEnd w:id="181"/>
    <w:bookmarkStart w:name="z190" w:id="182"/>
    <w:p>
      <w:pPr>
        <w:spacing w:after="0"/>
        <w:ind w:left="0"/>
        <w:jc w:val="both"/>
      </w:pPr>
      <w:r>
        <w:rPr>
          <w:rFonts w:ascii="Times New Roman"/>
          <w:b w:val="false"/>
          <w:i w:val="false"/>
          <w:color w:val="000000"/>
          <w:sz w:val="28"/>
        </w:rPr>
        <w:t>
      В анализ данных допускается включать только данные "детекторов", то есть субъектов, значения AUEC которых для двух длительностей воздействия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являются отрицательными и которые отвечают критерию "длительность воздействия дозы – ответ", описанному в таблице 6 приложения № 4 и в таблице 1 приложения № 5. </w:t>
      </w:r>
    </w:p>
    <w:bookmarkEnd w:id="182"/>
    <w:bookmarkStart w:name="z191" w:id="183"/>
    <w:p>
      <w:pPr>
        <w:spacing w:after="0"/>
        <w:ind w:left="0"/>
        <w:jc w:val="both"/>
      </w:pPr>
      <w:r>
        <w:rPr>
          <w:rFonts w:ascii="Times New Roman"/>
          <w:b w:val="false"/>
          <w:i w:val="false"/>
          <w:color w:val="000000"/>
          <w:sz w:val="28"/>
        </w:rPr>
        <w:t>
      Критерий "длительность воздействия дозы – ответ":</w:t>
      </w:r>
    </w:p>
    <w:bookmarkEnd w:id="183"/>
    <w:bookmarkStart w:name="z192"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2997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где:</w:t>
      </w:r>
    </w:p>
    <w:bookmarkEnd w:id="185"/>
    <w:bookmarkStart w:name="z194" w:id="186"/>
    <w:p>
      <w:pPr>
        <w:spacing w:after="0"/>
        <w:ind w:left="0"/>
        <w:jc w:val="both"/>
      </w:pPr>
      <w:r>
        <w:rPr>
          <w:rFonts w:ascii="Times New Roman"/>
          <w:b w:val="false"/>
          <w:i w:val="false"/>
          <w:color w:val="000000"/>
          <w:sz w:val="28"/>
        </w:rPr>
        <w:t>
      AUEC в момент D</w:t>
      </w:r>
      <w:r>
        <w:rPr>
          <w:rFonts w:ascii="Times New Roman"/>
          <w:b w:val="false"/>
          <w:i w:val="false"/>
          <w:color w:val="000000"/>
          <w:vertAlign w:val="subscript"/>
        </w:rPr>
        <w:t>2</w:t>
      </w:r>
      <w:r>
        <w:rPr>
          <w:rFonts w:ascii="Times New Roman"/>
          <w:b w:val="false"/>
          <w:i w:val="false"/>
          <w:color w:val="000000"/>
          <w:sz w:val="28"/>
        </w:rPr>
        <w:t xml:space="preserve"> = 0,5×(AUEC в момент D</w:t>
      </w:r>
      <w:r>
        <w:rPr>
          <w:rFonts w:ascii="Times New Roman"/>
          <w:b w:val="false"/>
          <w:i w:val="false"/>
          <w:color w:val="000000"/>
          <w:vertAlign w:val="subscript"/>
        </w:rPr>
        <w:t>2</w:t>
      </w:r>
      <w:r>
        <w:rPr>
          <w:rFonts w:ascii="Times New Roman"/>
          <w:b w:val="false"/>
          <w:i w:val="false"/>
          <w:color w:val="000000"/>
          <w:sz w:val="28"/>
        </w:rPr>
        <w:t xml:space="preserve"> (левая рука) + AUEC в момент D</w:t>
      </w:r>
      <w:r>
        <w:rPr>
          <w:rFonts w:ascii="Times New Roman"/>
          <w:b w:val="false"/>
          <w:i w:val="false"/>
          <w:color w:val="000000"/>
          <w:vertAlign w:val="subscript"/>
        </w:rPr>
        <w:t>2</w:t>
      </w:r>
      <w:r>
        <w:rPr>
          <w:rFonts w:ascii="Times New Roman"/>
          <w:b w:val="false"/>
          <w:i w:val="false"/>
          <w:color w:val="000000"/>
          <w:sz w:val="28"/>
        </w:rPr>
        <w:t xml:space="preserve"> (правая рука));</w:t>
      </w:r>
    </w:p>
    <w:bookmarkEnd w:id="186"/>
    <w:bookmarkStart w:name="z195" w:id="187"/>
    <w:p>
      <w:pPr>
        <w:spacing w:after="0"/>
        <w:ind w:left="0"/>
        <w:jc w:val="both"/>
      </w:pPr>
      <w:r>
        <w:rPr>
          <w:rFonts w:ascii="Times New Roman"/>
          <w:b w:val="false"/>
          <w:i w:val="false"/>
          <w:color w:val="000000"/>
          <w:sz w:val="28"/>
        </w:rPr>
        <w:t>
      AUEC в момент D</w:t>
      </w:r>
      <w:r>
        <w:rPr>
          <w:rFonts w:ascii="Times New Roman"/>
          <w:b w:val="false"/>
          <w:i w:val="false"/>
          <w:color w:val="000000"/>
          <w:vertAlign w:val="subscript"/>
        </w:rPr>
        <w:t>1</w:t>
      </w:r>
      <w:r>
        <w:rPr>
          <w:rFonts w:ascii="Times New Roman"/>
          <w:b w:val="false"/>
          <w:i w:val="false"/>
          <w:color w:val="000000"/>
          <w:sz w:val="28"/>
        </w:rPr>
        <w:t xml:space="preserve"> = 0,5×(AUEC в момент D</w:t>
      </w:r>
      <w:r>
        <w:rPr>
          <w:rFonts w:ascii="Times New Roman"/>
          <w:b w:val="false"/>
          <w:i w:val="false"/>
          <w:color w:val="000000"/>
          <w:vertAlign w:val="subscript"/>
        </w:rPr>
        <w:t>1</w:t>
      </w:r>
      <w:r>
        <w:rPr>
          <w:rFonts w:ascii="Times New Roman"/>
          <w:b w:val="false"/>
          <w:i w:val="false"/>
          <w:color w:val="000000"/>
          <w:sz w:val="28"/>
        </w:rPr>
        <w:t xml:space="preserve"> (левая рука) + AUEC в момент D</w:t>
      </w:r>
      <w:r>
        <w:rPr>
          <w:rFonts w:ascii="Times New Roman"/>
          <w:b w:val="false"/>
          <w:i w:val="false"/>
          <w:color w:val="000000"/>
          <w:vertAlign w:val="subscript"/>
        </w:rPr>
        <w:t>1</w:t>
      </w:r>
      <w:r>
        <w:rPr>
          <w:rFonts w:ascii="Times New Roman"/>
          <w:b w:val="false"/>
          <w:i w:val="false"/>
          <w:color w:val="000000"/>
          <w:sz w:val="28"/>
        </w:rPr>
        <w:t xml:space="preserve"> (правая рука)).</w:t>
      </w:r>
    </w:p>
    <w:bookmarkEnd w:id="187"/>
    <w:bookmarkStart w:name="z196" w:id="188"/>
    <w:p>
      <w:pPr>
        <w:spacing w:after="0"/>
        <w:ind w:left="0"/>
        <w:jc w:val="both"/>
      </w:pPr>
      <w:r>
        <w:rPr>
          <w:rFonts w:ascii="Times New Roman"/>
          <w:b w:val="false"/>
          <w:i w:val="false"/>
          <w:color w:val="000000"/>
          <w:sz w:val="28"/>
        </w:rPr>
        <w:t>
      72. Анализ данных проводится в отношении субъектов с полным набором данных, то есть с данными о результатах двукратных оценок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xml:space="preserve"> и четырехкратных оценок исследуемого и референтного лекарственных препаратов и контрольных участков.</w:t>
      </w:r>
    </w:p>
    <w:bookmarkEnd w:id="188"/>
    <w:bookmarkStart w:name="z197" w:id="189"/>
    <w:p>
      <w:pPr>
        <w:spacing w:after="0"/>
        <w:ind w:left="0"/>
        <w:jc w:val="both"/>
      </w:pPr>
      <w:r>
        <w:rPr>
          <w:rFonts w:ascii="Times New Roman"/>
          <w:b w:val="false"/>
          <w:i w:val="false"/>
          <w:color w:val="000000"/>
          <w:sz w:val="28"/>
        </w:rPr>
        <w:t>
      73. Оценка биоэквивалентности должна быть основана на значениях AUEC, рассчитанных в соответствии с пунктом 71 настоящих Требований при длительности воздействия дозы, приблизительно равной ED</w:t>
      </w:r>
      <w:r>
        <w:rPr>
          <w:rFonts w:ascii="Times New Roman"/>
          <w:b w:val="false"/>
          <w:i w:val="false"/>
          <w:color w:val="000000"/>
          <w:vertAlign w:val="subscript"/>
        </w:rPr>
        <w:t>50</w:t>
      </w:r>
      <w:r>
        <w:rPr>
          <w:rFonts w:ascii="Times New Roman"/>
          <w:b w:val="false"/>
          <w:i w:val="false"/>
          <w:color w:val="000000"/>
          <w:sz w:val="28"/>
        </w:rPr>
        <w:t xml:space="preserve"> для исследуемого и референтного лекарственных препаратов (на участках, которые указаны в пункте 68 настоящих Требований).</w:t>
      </w:r>
    </w:p>
    <w:bookmarkEnd w:id="189"/>
    <w:bookmarkStart w:name="z198" w:id="190"/>
    <w:p>
      <w:pPr>
        <w:spacing w:after="0"/>
        <w:ind w:left="0"/>
        <w:jc w:val="both"/>
      </w:pPr>
      <w:r>
        <w:rPr>
          <w:rFonts w:ascii="Times New Roman"/>
          <w:b w:val="false"/>
          <w:i w:val="false"/>
          <w:color w:val="000000"/>
          <w:sz w:val="28"/>
        </w:rPr>
        <w:t xml:space="preserve">
      74. Необходимо представить все данные исследования, включая данные субъектов, не ответивших на лечение. Любые данные, не используемые в оценке биоэквивалентности, необходимо сопроводить обоснованием (например: "субъект, не ответивший на лечение", "перекрывание сосудосуживающих эффектов на соседних участках" и др.). </w:t>
      </w:r>
    </w:p>
    <w:bookmarkEnd w:id="190"/>
    <w:bookmarkStart w:name="z199" w:id="191"/>
    <w:p>
      <w:pPr>
        <w:spacing w:after="0"/>
        <w:ind w:left="0"/>
        <w:jc w:val="left"/>
      </w:pPr>
      <w:r>
        <w:rPr>
          <w:rFonts w:ascii="Times New Roman"/>
          <w:b/>
          <w:i w:val="false"/>
          <w:color w:val="000000"/>
        </w:rPr>
        <w:t xml:space="preserve"> Статистический анализ</w:t>
      </w:r>
    </w:p>
    <w:bookmarkEnd w:id="191"/>
    <w:bookmarkStart w:name="z200" w:id="192"/>
    <w:p>
      <w:pPr>
        <w:spacing w:after="0"/>
        <w:ind w:left="0"/>
        <w:jc w:val="both"/>
      </w:pPr>
      <w:r>
        <w:rPr>
          <w:rFonts w:ascii="Times New Roman"/>
          <w:b w:val="false"/>
          <w:i w:val="false"/>
          <w:color w:val="000000"/>
          <w:sz w:val="28"/>
        </w:rPr>
        <w:t>
      75. Статистический анализ требует использования непреобразованных данных, поскольку значения AUEC для исследуемого и референтного лекарственных препаратов, рассчитанные с поправкой относительно исходного уровня и относительно необработанного контрольного участка, как правило, являются отрицательными, но иногда могут быть и положительными. Наличие положительных и отрицательных значений избавляет от использования стандартных статистических преобразований. Не допустимо применять приближенные методы расчета (например, расчет доверительного интервала для разности средних значений исследуемого и референтного лекарственных препаратов и вычисление отношения границ данного доверительного интервала и оценки среднего значения референтного препарата). Предпочтительной методикой вычисления точного доверительного интервала для непреобразованных данных является методика расчета по Locke C.S. позволяет вычислить.</w:t>
      </w:r>
    </w:p>
    <w:bookmarkEnd w:id="192"/>
    <w:bookmarkStart w:name="z201" w:id="193"/>
    <w:p>
      <w:pPr>
        <w:spacing w:after="0"/>
        <w:ind w:left="0"/>
        <w:jc w:val="both"/>
      </w:pPr>
      <w:r>
        <w:rPr>
          <w:rFonts w:ascii="Times New Roman"/>
          <w:b w:val="false"/>
          <w:i w:val="false"/>
          <w:color w:val="000000"/>
          <w:sz w:val="28"/>
        </w:rPr>
        <w:t>
      76. По методике Locke C.S. необходимо рассчитать 90 % доверительный интервал для отношения среднего AUEC исследуемого препарата (среднее значение 4 повторностей) к среднему AUEC для референтного препарата (среднее значение 4 повторностей) согласно приложению № 5.</w:t>
      </w:r>
    </w:p>
    <w:bookmarkEnd w:id="193"/>
    <w:bookmarkStart w:name="z202" w:id="194"/>
    <w:p>
      <w:pPr>
        <w:spacing w:after="0"/>
        <w:ind w:left="0"/>
        <w:jc w:val="both"/>
      </w:pPr>
      <w:r>
        <w:rPr>
          <w:rFonts w:ascii="Times New Roman"/>
          <w:b w:val="false"/>
          <w:i w:val="false"/>
          <w:color w:val="000000"/>
          <w:sz w:val="28"/>
        </w:rPr>
        <w:t>
      77. В настоящее время не установлены границы признания биоэквивалентности. Во время оценки представленных данных может потребоваться использование границ признания биоэквивалентности более широких, чем 80,00 – 125,00%, являющихся стандартными, что может увеличить сроки оценки данных.</w:t>
      </w:r>
    </w:p>
    <w:bookmarkEnd w:id="194"/>
    <w:bookmarkStart w:name="z203" w:id="195"/>
    <w:p>
      <w:pPr>
        <w:spacing w:after="0"/>
        <w:ind w:left="0"/>
        <w:jc w:val="both"/>
      </w:pPr>
      <w:r>
        <w:rPr>
          <w:rFonts w:ascii="Times New Roman"/>
          <w:b w:val="false"/>
          <w:i w:val="false"/>
          <w:color w:val="000000"/>
          <w:sz w:val="28"/>
        </w:rPr>
        <w:t>
      78. Отчет об исследовании должен содержать рандомизационный код, определяющий нанесение на конкретные участки кожи каждой длительности воздействия дозы и контрольные участки.</w:t>
      </w:r>
    </w:p>
    <w:bookmarkEnd w:id="195"/>
    <w:bookmarkStart w:name="z204" w:id="196"/>
    <w:p>
      <w:pPr>
        <w:spacing w:after="0"/>
        <w:ind w:left="0"/>
        <w:jc w:val="left"/>
      </w:pPr>
      <w:r>
        <w:rPr>
          <w:rFonts w:ascii="Times New Roman"/>
          <w:b/>
          <w:i w:val="false"/>
          <w:color w:val="000000"/>
        </w:rPr>
        <w:t xml:space="preserve"> Формат представления компьютерных данных</w:t>
      </w:r>
    </w:p>
    <w:bookmarkEnd w:id="196"/>
    <w:bookmarkStart w:name="z205" w:id="197"/>
    <w:p>
      <w:pPr>
        <w:spacing w:after="0"/>
        <w:ind w:left="0"/>
        <w:jc w:val="both"/>
      </w:pPr>
      <w:r>
        <w:rPr>
          <w:rFonts w:ascii="Times New Roman"/>
          <w:b w:val="false"/>
          <w:i w:val="false"/>
          <w:color w:val="000000"/>
          <w:sz w:val="28"/>
        </w:rPr>
        <w:t>
      79. Первичные хромаметрические данные, скорректированные относительно исходного уровня данные, скорректированные относительно исходного уровня и необработанных контрольных участков данные и данные AUEC должны быть размещены в виде отдельных файлов в табличном формате (примеры представлены в приложении № 4).</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207" w:id="198"/>
    <w:p>
      <w:pPr>
        <w:spacing w:after="0"/>
        <w:ind w:left="0"/>
        <w:jc w:val="left"/>
      </w:pPr>
      <w:r>
        <w:rPr>
          <w:rFonts w:ascii="Times New Roman"/>
          <w:b/>
          <w:i w:val="false"/>
          <w:color w:val="000000"/>
        </w:rPr>
        <w:t xml:space="preserve"> СХЕМА</w:t>
      </w:r>
      <w:r>
        <w:br/>
      </w:r>
      <w:r>
        <w:rPr>
          <w:rFonts w:ascii="Times New Roman"/>
          <w:b/>
          <w:i w:val="false"/>
          <w:color w:val="000000"/>
        </w:rPr>
        <w:t xml:space="preserve">предлагаемого протокола пилотного исследования </w:t>
      </w:r>
      <w:r>
        <w:br/>
      </w:r>
      <w:r>
        <w:rPr>
          <w:rFonts w:ascii="Times New Roman"/>
          <w:b/>
          <w:i w:val="false"/>
          <w:color w:val="000000"/>
        </w:rPr>
        <w:t>с разнесенным по времени нанесением и синхронным</w:t>
      </w:r>
      <w:r>
        <w:br/>
      </w:r>
      <w:r>
        <w:rPr>
          <w:rFonts w:ascii="Times New Roman"/>
          <w:b/>
          <w:i w:val="false"/>
          <w:color w:val="000000"/>
        </w:rPr>
        <w:t>удалением лекарственного препарата</w:t>
      </w:r>
    </w:p>
    <w:bookmarkEnd w:id="198"/>
    <w:bookmarkStart w:name="z20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5207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0"/>
    <w:p>
      <w:pPr>
        <w:spacing w:after="0"/>
        <w:ind w:left="0"/>
        <w:jc w:val="left"/>
      </w:pPr>
      <w:r>
        <w:rPr>
          <w:rFonts w:ascii="Times New Roman"/>
          <w:b/>
          <w:i w:val="false"/>
          <w:color w:val="000000"/>
        </w:rPr>
        <w:t xml:space="preserve"> Рисунок 1</w:t>
      </w:r>
    </w:p>
    <w:bookmarkEnd w:id="200"/>
    <w:bookmarkStart w:name="z210" w:id="201"/>
    <w:p>
      <w:pPr>
        <w:spacing w:after="0"/>
        <w:ind w:left="0"/>
        <w:jc w:val="left"/>
      </w:pPr>
      <w:r>
        <w:rPr>
          <w:rFonts w:ascii="Times New Roman"/>
          <w:b/>
          <w:i w:val="false"/>
          <w:color w:val="000000"/>
        </w:rPr>
        <w:t xml:space="preserve"> График оценки исходного цвета кожи, цвета кожи после нанесения и удаления лекарственного препарата</w:t>
      </w:r>
    </w:p>
    <w:bookmarkEnd w:id="201"/>
    <w:bookmarkStart w:name="z211" w:id="202"/>
    <w:p>
      <w:pPr>
        <w:spacing w:after="0"/>
        <w:ind w:left="0"/>
        <w:jc w:val="both"/>
      </w:pPr>
      <w:r>
        <w:rPr>
          <w:rFonts w:ascii="Times New Roman"/>
          <w:b w:val="false"/>
          <w:i w:val="false"/>
          <w:color w:val="000000"/>
          <w:sz w:val="28"/>
        </w:rPr>
        <w:t>
      Примечание. -7…0 – время до удаления лекарственного препарата (ч);</w:t>
      </w:r>
    </w:p>
    <w:bookmarkEnd w:id="202"/>
    <w:bookmarkStart w:name="z212" w:id="203"/>
    <w:p>
      <w:pPr>
        <w:spacing w:after="0"/>
        <w:ind w:left="0"/>
        <w:jc w:val="both"/>
      </w:pPr>
      <w:r>
        <w:rPr>
          <w:rFonts w:ascii="Times New Roman"/>
          <w:b w:val="false"/>
          <w:i w:val="false"/>
          <w:color w:val="000000"/>
          <w:sz w:val="28"/>
        </w:rPr>
        <w:t>
       ИУ – исходный уровень сужения сосудов кожи;</w:t>
      </w:r>
    </w:p>
    <w:bookmarkEnd w:id="203"/>
    <w:bookmarkStart w:name="z213"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нанесение лекарственного препарата;</w:t>
      </w:r>
      <w:r>
        <w:br/>
      </w:r>
      <w:r>
        <w:rPr>
          <w:rFonts w:ascii="Times New Roman"/>
          <w:b w:val="false"/>
          <w:i w:val="false"/>
          <w:color w:val="000000"/>
          <w:sz w:val="28"/>
        </w:rPr>
        <w:t>
</w:t>
      </w:r>
    </w:p>
    <w:bookmarkStart w:name="z214"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удаление лекарственного препарата.</w:t>
      </w:r>
      <w:r>
        <w:br/>
      </w:r>
      <w:r>
        <w:rPr>
          <w:rFonts w:ascii="Times New Roman"/>
          <w:b w:val="false"/>
          <w:i w:val="false"/>
          <w:color w:val="000000"/>
          <w:sz w:val="28"/>
        </w:rPr>
        <w:t>
</w:t>
      </w:r>
    </w:p>
    <w:bookmarkStart w:name="z215"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902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022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7"/>
    <w:p>
      <w:pPr>
        <w:spacing w:after="0"/>
        <w:ind w:left="0"/>
        <w:jc w:val="left"/>
      </w:pPr>
      <w:r>
        <w:rPr>
          <w:rFonts w:ascii="Times New Roman"/>
          <w:b/>
          <w:i w:val="false"/>
          <w:color w:val="000000"/>
        </w:rPr>
        <w:t xml:space="preserve"> Рисунок 2</w:t>
      </w:r>
    </w:p>
    <w:bookmarkEnd w:id="207"/>
    <w:bookmarkStart w:name="z217" w:id="208"/>
    <w:p>
      <w:pPr>
        <w:spacing w:after="0"/>
        <w:ind w:left="0"/>
        <w:jc w:val="left"/>
      </w:pPr>
      <w:r>
        <w:rPr>
          <w:rFonts w:ascii="Times New Roman"/>
          <w:b/>
          <w:i w:val="false"/>
          <w:color w:val="000000"/>
        </w:rPr>
        <w:t xml:space="preserve"> График оценки побледнения кожи</w:t>
      </w:r>
    </w:p>
    <w:bookmarkEnd w:id="208"/>
    <w:bookmarkStart w:name="z218" w:id="209"/>
    <w:p>
      <w:pPr>
        <w:spacing w:after="0"/>
        <w:ind w:left="0"/>
        <w:jc w:val="both"/>
      </w:pPr>
      <w:r>
        <w:rPr>
          <w:rFonts w:ascii="Times New Roman"/>
          <w:b w:val="false"/>
          <w:i w:val="false"/>
          <w:color w:val="000000"/>
          <w:sz w:val="28"/>
        </w:rPr>
        <w:t>
      Примечание. 0…24 – время после лекарственного препарата (ч);</w:t>
      </w:r>
    </w:p>
    <w:bookmarkEnd w:id="209"/>
    <w:bookmarkStart w:name="z219"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203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удаления лекарственного препарата;</w:t>
      </w:r>
      <w:r>
        <w:br/>
      </w:r>
      <w:r>
        <w:rPr>
          <w:rFonts w:ascii="Times New Roman"/>
          <w:b w:val="false"/>
          <w:i w:val="false"/>
          <w:color w:val="000000"/>
          <w:sz w:val="28"/>
        </w:rPr>
        <w:t>
</w:t>
      </w:r>
    </w:p>
    <w:bookmarkStart w:name="z220"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оценки результатов.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222" w:id="212"/>
    <w:p>
      <w:pPr>
        <w:spacing w:after="0"/>
        <w:ind w:left="0"/>
        <w:jc w:val="left"/>
      </w:pPr>
      <w:r>
        <w:rPr>
          <w:rFonts w:ascii="Times New Roman"/>
          <w:b/>
          <w:i w:val="false"/>
          <w:color w:val="000000"/>
        </w:rPr>
        <w:t xml:space="preserve"> СХЕМА</w:t>
      </w:r>
      <w:r>
        <w:br/>
      </w:r>
      <w:r>
        <w:rPr>
          <w:rFonts w:ascii="Times New Roman"/>
          <w:b/>
          <w:i w:val="false"/>
          <w:color w:val="000000"/>
        </w:rPr>
        <w:t>предлагаемого протокола пилотного исследования</w:t>
      </w:r>
      <w:r>
        <w:br/>
      </w:r>
      <w:r>
        <w:rPr>
          <w:rFonts w:ascii="Times New Roman"/>
          <w:b/>
          <w:i w:val="false"/>
          <w:color w:val="000000"/>
        </w:rPr>
        <w:t>с синхронным нанесением и разнесенным по времени</w:t>
      </w:r>
      <w:r>
        <w:br/>
      </w:r>
      <w:r>
        <w:rPr>
          <w:rFonts w:ascii="Times New Roman"/>
          <w:b/>
          <w:i w:val="false"/>
          <w:color w:val="000000"/>
        </w:rPr>
        <w:t xml:space="preserve">удалением лекарственного препарата </w:t>
      </w:r>
    </w:p>
    <w:bookmarkEnd w:id="212"/>
    <w:bookmarkStart w:name="z223"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51943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943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4"/>
    <w:p>
      <w:pPr>
        <w:spacing w:after="0"/>
        <w:ind w:left="0"/>
        <w:jc w:val="left"/>
      </w:pPr>
      <w:r>
        <w:rPr>
          <w:rFonts w:ascii="Times New Roman"/>
          <w:b/>
          <w:i w:val="false"/>
          <w:color w:val="000000"/>
        </w:rPr>
        <w:t xml:space="preserve"> Рисунок 1</w:t>
      </w:r>
    </w:p>
    <w:bookmarkEnd w:id="214"/>
    <w:bookmarkStart w:name="z225" w:id="215"/>
    <w:p>
      <w:pPr>
        <w:spacing w:after="0"/>
        <w:ind w:left="0"/>
        <w:jc w:val="left"/>
      </w:pPr>
      <w:r>
        <w:rPr>
          <w:rFonts w:ascii="Times New Roman"/>
          <w:b/>
          <w:i w:val="false"/>
          <w:color w:val="000000"/>
        </w:rPr>
        <w:t xml:space="preserve"> График оценки исходного цвета кожи, цвета кожи после</w:t>
      </w:r>
      <w:r>
        <w:br/>
      </w:r>
      <w:r>
        <w:rPr>
          <w:rFonts w:ascii="Times New Roman"/>
          <w:b/>
          <w:i w:val="false"/>
          <w:color w:val="000000"/>
        </w:rPr>
        <w:t>нанесения и удаления лекарственного препарата</w:t>
      </w:r>
    </w:p>
    <w:bookmarkEnd w:id="215"/>
    <w:bookmarkStart w:name="z226" w:id="216"/>
    <w:p>
      <w:pPr>
        <w:spacing w:after="0"/>
        <w:ind w:left="0"/>
        <w:jc w:val="both"/>
      </w:pPr>
      <w:r>
        <w:rPr>
          <w:rFonts w:ascii="Times New Roman"/>
          <w:b w:val="false"/>
          <w:i w:val="false"/>
          <w:color w:val="000000"/>
          <w:sz w:val="28"/>
        </w:rPr>
        <w:t>
      Примечание. -1...6 – время после нанесения лекарственного препарата (ч);</w:t>
      </w:r>
    </w:p>
    <w:bookmarkEnd w:id="216"/>
    <w:bookmarkStart w:name="z227" w:id="217"/>
    <w:p>
      <w:pPr>
        <w:spacing w:after="0"/>
        <w:ind w:left="0"/>
        <w:jc w:val="both"/>
      </w:pPr>
      <w:r>
        <w:rPr>
          <w:rFonts w:ascii="Times New Roman"/>
          <w:b w:val="false"/>
          <w:i w:val="false"/>
          <w:color w:val="000000"/>
          <w:sz w:val="28"/>
        </w:rPr>
        <w:t>
      ИУ – исходный уровень степени сужения сосудов кожи;</w:t>
      </w:r>
    </w:p>
    <w:bookmarkEnd w:id="217"/>
    <w:bookmarkStart w:name="z228"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22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нанесение лекарственного препарата;</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удаление лекарственного препарата.</w:t>
      </w:r>
      <w:r>
        <w:br/>
      </w:r>
      <w:r>
        <w:rPr>
          <w:rFonts w:ascii="Times New Roman"/>
          <w:b w:val="false"/>
          <w:i w:val="false"/>
          <w:color w:val="000000"/>
          <w:sz w:val="28"/>
        </w:rPr>
        <w:t>
</w:t>
      </w:r>
    </w:p>
    <w:bookmarkStart w:name="z230"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5664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6642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21"/>
    <w:p>
      <w:pPr>
        <w:spacing w:after="0"/>
        <w:ind w:left="0"/>
        <w:jc w:val="left"/>
      </w:pPr>
      <w:r>
        <w:rPr>
          <w:rFonts w:ascii="Times New Roman"/>
          <w:b/>
          <w:i w:val="false"/>
          <w:color w:val="000000"/>
        </w:rPr>
        <w:t xml:space="preserve"> Рисунок 2</w:t>
      </w:r>
    </w:p>
    <w:bookmarkEnd w:id="221"/>
    <w:bookmarkStart w:name="z232" w:id="222"/>
    <w:p>
      <w:pPr>
        <w:spacing w:after="0"/>
        <w:ind w:left="0"/>
        <w:jc w:val="left"/>
      </w:pPr>
      <w:r>
        <w:rPr>
          <w:rFonts w:ascii="Times New Roman"/>
          <w:b/>
          <w:i w:val="false"/>
          <w:color w:val="000000"/>
        </w:rPr>
        <w:t xml:space="preserve"> График оценки побледнения кожи</w:t>
      </w:r>
    </w:p>
    <w:bookmarkEnd w:id="222"/>
    <w:bookmarkStart w:name="z233" w:id="223"/>
    <w:p>
      <w:pPr>
        <w:spacing w:after="0"/>
        <w:ind w:left="0"/>
        <w:jc w:val="both"/>
      </w:pPr>
      <w:r>
        <w:rPr>
          <w:rFonts w:ascii="Times New Roman"/>
          <w:b w:val="false"/>
          <w:i w:val="false"/>
          <w:color w:val="000000"/>
          <w:sz w:val="28"/>
        </w:rPr>
        <w:t>
      Примечание. 0….28 – время после нанесения лекарственного препарата (ч);</w:t>
      </w:r>
    </w:p>
    <w:bookmarkEnd w:id="223"/>
    <w:bookmarkStart w:name="z234"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21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нанесения лекарственного препарата;</w:t>
      </w:r>
      <w:r>
        <w:br/>
      </w:r>
      <w:r>
        <w:rPr>
          <w:rFonts w:ascii="Times New Roman"/>
          <w:b w:val="false"/>
          <w:i w:val="false"/>
          <w:color w:val="000000"/>
          <w:sz w:val="28"/>
        </w:rPr>
        <w:t>
</w:t>
      </w:r>
    </w:p>
    <w:bookmarkStart w:name="z235"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оценки результатов.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237" w:id="226"/>
    <w:p>
      <w:pPr>
        <w:spacing w:after="0"/>
        <w:ind w:left="0"/>
        <w:jc w:val="left"/>
      </w:pPr>
      <w:r>
        <w:rPr>
          <w:rFonts w:ascii="Times New Roman"/>
          <w:b/>
          <w:i w:val="false"/>
          <w:color w:val="000000"/>
        </w:rPr>
        <w:t xml:space="preserve"> ПРИМЕР</w:t>
      </w:r>
    </w:p>
    <w:bookmarkEnd w:id="226"/>
    <w:bookmarkStart w:name="z238" w:id="227"/>
    <w:p>
      <w:pPr>
        <w:spacing w:after="0"/>
        <w:ind w:left="0"/>
        <w:jc w:val="left"/>
      </w:pPr>
      <w:r>
        <w:rPr>
          <w:rFonts w:ascii="Times New Roman"/>
          <w:b/>
          <w:i w:val="false"/>
          <w:color w:val="000000"/>
        </w:rPr>
        <w:t xml:space="preserve"> табличного и графического представления </w:t>
      </w:r>
      <w:r>
        <w:br/>
      </w:r>
      <w:r>
        <w:rPr>
          <w:rFonts w:ascii="Times New Roman"/>
          <w:b/>
          <w:i w:val="false"/>
          <w:color w:val="000000"/>
        </w:rPr>
        <w:t xml:space="preserve">результатов пилотного исследования </w:t>
      </w:r>
    </w:p>
    <w:bookmarkEnd w:id="227"/>
    <w:bookmarkStart w:name="z239" w:id="228"/>
    <w:p>
      <w:pPr>
        <w:spacing w:after="0"/>
        <w:ind w:left="0"/>
        <w:jc w:val="both"/>
      </w:pPr>
      <w:r>
        <w:rPr>
          <w:rFonts w:ascii="Times New Roman"/>
          <w:b w:val="false"/>
          <w:i w:val="false"/>
          <w:color w:val="000000"/>
          <w:sz w:val="28"/>
        </w:rPr>
        <w:t>
      1. Исследования при нанесении кортикостероидного лекарственного препарата в разное время с последующим синхронным удалением и при одновременном нанесении на все участки с последующим удалением через разные промежутки времени одинаково приемлемы.</w:t>
      </w:r>
    </w:p>
    <w:bookmarkEnd w:id="228"/>
    <w:bookmarkStart w:name="z240" w:id="229"/>
    <w:p>
      <w:pPr>
        <w:spacing w:after="0"/>
        <w:ind w:left="0"/>
        <w:jc w:val="both"/>
      </w:pPr>
      <w:r>
        <w:rPr>
          <w:rFonts w:ascii="Times New Roman"/>
          <w:b w:val="false"/>
          <w:i w:val="false"/>
          <w:color w:val="000000"/>
          <w:sz w:val="28"/>
        </w:rPr>
        <w:t>
      2. В настоящем Приложении приведены результаты исследования с использованием только 2 контрольных участков без нанесения лекарственного препарата на каждой руке. Коррекция значений цвета кожи на остальных участках руки проводилась путем вычитания среднего значения цвета кожи этих 2 контрольных участков из каждого значения цвета кожи участка с нанесенным лекарственным препаратом на той же руке.</w:t>
      </w:r>
    </w:p>
    <w:bookmarkEnd w:id="229"/>
    <w:bookmarkStart w:name="z241" w:id="230"/>
    <w:p>
      <w:pPr>
        <w:spacing w:after="0"/>
        <w:ind w:left="0"/>
        <w:jc w:val="both"/>
      </w:pPr>
      <w:r>
        <w:rPr>
          <w:rFonts w:ascii="Times New Roman"/>
          <w:b w:val="false"/>
          <w:i w:val="false"/>
          <w:color w:val="000000"/>
          <w:sz w:val="28"/>
        </w:rPr>
        <w:t>
      3. В таблице 1 представлены хромаметрические данные для одного субъекта исследования за 24 часа. Данные с поправкой на исходный уровень представлены в таблице 2. Данные с поправкой на исходный уровень скорректированные по контрольным участкам без нанесения лекарственного препарата, после поправки на исходный уровень и данные AUEC</w:t>
      </w:r>
      <w:r>
        <w:rPr>
          <w:rFonts w:ascii="Times New Roman"/>
          <w:b w:val="false"/>
          <w:i w:val="false"/>
          <w:color w:val="000000"/>
          <w:vertAlign w:val="subscript"/>
        </w:rPr>
        <w:t>(0-24)</w:t>
      </w:r>
      <w:r>
        <w:rPr>
          <w:rFonts w:ascii="Times New Roman"/>
          <w:b w:val="false"/>
          <w:i w:val="false"/>
          <w:color w:val="000000"/>
          <w:sz w:val="28"/>
        </w:rPr>
        <w:t xml:space="preserve"> представлены в таблице 3. В примере приведенном в таблице 3, каждый участок нанесения лекарственного препарата корректировался относительно контрольного участка без нанесения лекарственного препарата.</w:t>
      </w:r>
    </w:p>
    <w:bookmarkEnd w:id="230"/>
    <w:bookmarkStart w:name="z242" w:id="231"/>
    <w:p>
      <w:pPr>
        <w:spacing w:after="0"/>
        <w:ind w:left="0"/>
        <w:jc w:val="both"/>
      </w:pPr>
      <w:r>
        <w:rPr>
          <w:rFonts w:ascii="Times New Roman"/>
          <w:b w:val="false"/>
          <w:i w:val="false"/>
          <w:color w:val="000000"/>
          <w:sz w:val="28"/>
        </w:rPr>
        <w:t>
      4. В таблице 4 представлены значения AUEC</w:t>
      </w:r>
      <w:r>
        <w:rPr>
          <w:rFonts w:ascii="Times New Roman"/>
          <w:b w:val="false"/>
          <w:i w:val="false"/>
          <w:color w:val="000000"/>
          <w:vertAlign w:val="subscript"/>
        </w:rPr>
        <w:t>0-24</w:t>
      </w:r>
      <w:r>
        <w:rPr>
          <w:rFonts w:ascii="Times New Roman"/>
          <w:b w:val="false"/>
          <w:i w:val="false"/>
          <w:color w:val="000000"/>
          <w:sz w:val="28"/>
        </w:rPr>
        <w:t>. Подгонка кривой для модели E</w:t>
      </w:r>
      <w:r>
        <w:rPr>
          <w:rFonts w:ascii="Times New Roman"/>
          <w:b w:val="false"/>
          <w:i w:val="false"/>
          <w:color w:val="000000"/>
          <w:vertAlign w:val="subscript"/>
        </w:rPr>
        <w:t>max</w:t>
      </w:r>
      <w:r>
        <w:rPr>
          <w:rFonts w:ascii="Times New Roman"/>
          <w:b w:val="false"/>
          <w:i w:val="false"/>
          <w:color w:val="000000"/>
          <w:sz w:val="28"/>
        </w:rPr>
        <w:t xml:space="preserve"> к обобщенным данным представлена на рисунке 1.</w:t>
      </w:r>
    </w:p>
    <w:bookmarkEnd w:id="231"/>
    <w:bookmarkStart w:name="z243" w:id="232"/>
    <w:p>
      <w:pPr>
        <w:spacing w:after="0"/>
        <w:ind w:left="0"/>
        <w:jc w:val="both"/>
      </w:pPr>
      <w:r>
        <w:rPr>
          <w:rFonts w:ascii="Times New Roman"/>
          <w:b w:val="false"/>
          <w:i w:val="false"/>
          <w:color w:val="000000"/>
          <w:sz w:val="28"/>
        </w:rPr>
        <w:t>
      Таблица 1</w:t>
      </w:r>
    </w:p>
    <w:bookmarkEnd w:id="232"/>
    <w:bookmarkStart w:name="z244" w:id="233"/>
    <w:p>
      <w:pPr>
        <w:spacing w:after="0"/>
        <w:ind w:left="0"/>
        <w:jc w:val="left"/>
      </w:pPr>
      <w:r>
        <w:rPr>
          <w:rFonts w:ascii="Times New Roman"/>
          <w:b/>
          <w:i w:val="false"/>
          <w:color w:val="000000"/>
        </w:rPr>
        <w:t xml:space="preserve"> Значения показаний хромаметра для субъекта исследований</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93"/>
        <w:gridCol w:w="1321"/>
        <w:gridCol w:w="1346"/>
        <w:gridCol w:w="1347"/>
        <w:gridCol w:w="1347"/>
        <w:gridCol w:w="1347"/>
        <w:gridCol w:w="1347"/>
        <w:gridCol w:w="1347"/>
        <w:gridCol w:w="1347"/>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дозы, ч</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туровень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bookmarkStart w:name="z245" w:id="234"/>
    <w:p>
      <w:pPr>
        <w:spacing w:after="0"/>
        <w:ind w:left="0"/>
        <w:jc w:val="both"/>
      </w:pPr>
      <w:r>
        <w:rPr>
          <w:rFonts w:ascii="Times New Roman"/>
          <w:b w:val="false"/>
          <w:i w:val="false"/>
          <w:color w:val="000000"/>
          <w:sz w:val="28"/>
        </w:rPr>
        <w:t>
      Таблица 2</w:t>
      </w:r>
    </w:p>
    <w:bookmarkEnd w:id="234"/>
    <w:bookmarkStart w:name="z246" w:id="235"/>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242"/>
        <w:gridCol w:w="1502"/>
        <w:gridCol w:w="423"/>
        <w:gridCol w:w="1435"/>
        <w:gridCol w:w="1435"/>
        <w:gridCol w:w="1435"/>
        <w:gridCol w:w="1436"/>
        <w:gridCol w:w="1436"/>
        <w:gridCol w:w="1436"/>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ч</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247" w:id="236"/>
    <w:p>
      <w:pPr>
        <w:spacing w:after="0"/>
        <w:ind w:left="0"/>
        <w:jc w:val="both"/>
      </w:pPr>
      <w:r>
        <w:rPr>
          <w:rFonts w:ascii="Times New Roman"/>
          <w:b w:val="false"/>
          <w:i w:val="false"/>
          <w:color w:val="000000"/>
          <w:sz w:val="28"/>
        </w:rPr>
        <w:t>
      Таблица 3</w:t>
      </w:r>
    </w:p>
    <w:bookmarkEnd w:id="236"/>
    <w:bookmarkStart w:name="z248" w:id="237"/>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 скорректированные по контрольным участкам</w:t>
      </w:r>
      <w:r>
        <w:br/>
      </w:r>
      <w:r>
        <w:rPr>
          <w:rFonts w:ascii="Times New Roman"/>
          <w:b/>
          <w:i w:val="false"/>
          <w:color w:val="000000"/>
        </w:rPr>
        <w:t>без нанесения лекарственного препарата, и данные AUEC</w:t>
      </w:r>
      <w:r>
        <w:rPr>
          <w:rFonts w:ascii="Times New Roman"/>
          <w:b/>
          <w:i w:val="false"/>
          <w:color w:val="000000"/>
          <w:vertAlign w:val="subscript"/>
        </w:rPr>
        <w:t>(0-24)</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002"/>
        <w:gridCol w:w="977"/>
        <w:gridCol w:w="341"/>
        <w:gridCol w:w="1157"/>
        <w:gridCol w:w="1157"/>
        <w:gridCol w:w="1157"/>
        <w:gridCol w:w="1157"/>
        <w:gridCol w:w="1158"/>
        <w:gridCol w:w="1158"/>
        <w:gridCol w:w="2616"/>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ч</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r>
              <w:br/>
            </w:r>
            <w:r>
              <w:rPr>
                <w:rFonts w:ascii="Times New Roman"/>
                <w:b w:val="false"/>
                <w:i w:val="false"/>
                <w:color w:val="000000"/>
                <w:sz w:val="20"/>
              </w:rPr>
              <w:t>(обработанный/не обработанный лекарственным препаратом)</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bookmarkStart w:name="z249" w:id="238"/>
    <w:p>
      <w:pPr>
        <w:spacing w:after="0"/>
        <w:ind w:left="0"/>
        <w:jc w:val="both"/>
      </w:pPr>
      <w:r>
        <w:rPr>
          <w:rFonts w:ascii="Times New Roman"/>
          <w:b w:val="false"/>
          <w:i w:val="false"/>
          <w:color w:val="000000"/>
          <w:sz w:val="28"/>
        </w:rPr>
        <w:t>
      Примечание.</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sz w:val="28"/>
        </w:rPr>
        <w:t xml:space="preserve"> Значения AUEC</w:t>
      </w:r>
      <w:r>
        <w:rPr>
          <w:rFonts w:ascii="Times New Roman"/>
          <w:b w:val="false"/>
          <w:i w:val="false"/>
          <w:color w:val="000000"/>
          <w:vertAlign w:val="subscript"/>
        </w:rPr>
        <w:t>(0-24)</w:t>
      </w:r>
      <w:r>
        <w:rPr>
          <w:rFonts w:ascii="Times New Roman"/>
          <w:b w:val="false"/>
          <w:i w:val="false"/>
          <w:color w:val="000000"/>
          <w:sz w:val="28"/>
        </w:rPr>
        <w:t xml:space="preserve"> рассчитаны на основе данных, скорректированных относительно исходного уровня сосудистой реакции и изменения цвета контрольных участков кожи в соответствующие моменты времени.</w:t>
      </w:r>
    </w:p>
    <w:bookmarkEnd w:id="238"/>
    <w:bookmarkStart w:name="z250" w:id="239"/>
    <w:p>
      <w:pPr>
        <w:spacing w:after="0"/>
        <w:ind w:left="0"/>
        <w:jc w:val="both"/>
      </w:pPr>
      <w:r>
        <w:rPr>
          <w:rFonts w:ascii="Times New Roman"/>
          <w:b w:val="false"/>
          <w:i w:val="false"/>
          <w:color w:val="000000"/>
          <w:sz w:val="28"/>
        </w:rPr>
        <w:t>
      Таблица 4</w:t>
      </w:r>
    </w:p>
    <w:bookmarkEnd w:id="239"/>
    <w:bookmarkStart w:name="z251" w:id="240"/>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12 субъектов исследования при заданной длительности воздействия дозы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16"/>
        <w:gridCol w:w="979"/>
        <w:gridCol w:w="979"/>
        <w:gridCol w:w="980"/>
        <w:gridCol w:w="980"/>
        <w:gridCol w:w="980"/>
        <w:gridCol w:w="980"/>
        <w:gridCol w:w="980"/>
        <w:gridCol w:w="980"/>
        <w:gridCol w:w="980"/>
        <w:gridCol w:w="980"/>
        <w:gridCol w:w="980"/>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w:t>
            </w:r>
            <w:r>
              <w:br/>
            </w:r>
            <w:r>
              <w:rPr>
                <w:rFonts w:ascii="Times New Roman"/>
                <w:b w:val="false"/>
                <w:i w:val="false"/>
                <w:color w:val="000000"/>
                <w:sz w:val="20"/>
              </w:rPr>
              <w:t>дозы,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bl>
    <w:p>
      <w:pPr>
        <w:spacing w:after="0"/>
        <w:ind w:left="0"/>
        <w:jc w:val="left"/>
      </w:pPr>
      <w:r>
        <w:br/>
      </w:r>
      <w:r>
        <w:rPr>
          <w:rFonts w:ascii="Times New Roman"/>
          <w:b w:val="false"/>
          <w:i w:val="false"/>
          <w:color w:val="000000"/>
          <w:sz w:val="28"/>
        </w:rPr>
        <w:t>
</w:t>
      </w:r>
    </w:p>
    <w:bookmarkStart w:name="z252" w:id="241"/>
    <w:p>
      <w:pPr>
        <w:spacing w:after="0"/>
        <w:ind w:left="0"/>
        <w:jc w:val="both"/>
      </w:pPr>
      <w:r>
        <w:rPr>
          <w:rFonts w:ascii="Times New Roman"/>
          <w:b w:val="false"/>
          <w:i w:val="false"/>
          <w:color w:val="000000"/>
          <w:sz w:val="28"/>
        </w:rPr>
        <w:t>
      4. Наблюдаемые средние значения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8"/>
        </w:rPr>
        <w:t>(черные точки) и стандартная ошибка среднего (верхние и нижние пределы), а также модель E</w:t>
      </w:r>
      <w:r>
        <w:rPr>
          <w:rFonts w:ascii="Times New Roman"/>
          <w:b w:val="false"/>
          <w:i w:val="false"/>
          <w:color w:val="000000"/>
          <w:vertAlign w:val="subscript"/>
        </w:rPr>
        <w:t>max</w:t>
      </w:r>
      <w:r>
        <w:rPr>
          <w:rFonts w:ascii="Times New Roman"/>
          <w:b w:val="false"/>
          <w:i w:val="false"/>
          <w:color w:val="000000"/>
          <w:sz w:val="28"/>
        </w:rPr>
        <w:t xml:space="preserve"> (непрерывная линяя) с подгонкой кривой в соответствии с обобщенными данными исследования зависимости "длительность воздействия дозы – ответ", полученными от 12 субъектов исследования в пилотном исследовании, приведены на рисунке.</w:t>
      </w:r>
    </w:p>
    <w:bookmarkEnd w:id="241"/>
    <w:bookmarkStart w:name="z253"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6581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581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3"/>
    <w:p>
      <w:pPr>
        <w:spacing w:after="0"/>
        <w:ind w:left="0"/>
        <w:jc w:val="both"/>
      </w:pPr>
      <w:r>
        <w:rPr>
          <w:rFonts w:ascii="Times New Roman"/>
          <w:b w:val="false"/>
          <w:i w:val="false"/>
          <w:color w:val="000000"/>
          <w:sz w:val="28"/>
        </w:rPr>
        <w:t>
      Примечания: 1. 0…6 – длительность воздействия дозы (ч).</w:t>
      </w:r>
    </w:p>
    <w:bookmarkEnd w:id="243"/>
    <w:bookmarkStart w:name="z255" w:id="244"/>
    <w:p>
      <w:pPr>
        <w:spacing w:after="0"/>
        <w:ind w:left="0"/>
        <w:jc w:val="both"/>
      </w:pPr>
      <w:r>
        <w:rPr>
          <w:rFonts w:ascii="Times New Roman"/>
          <w:b w:val="false"/>
          <w:i w:val="false"/>
          <w:color w:val="000000"/>
          <w:sz w:val="28"/>
        </w:rPr>
        <w:t>
      2. Данные, скорректированные относительно исходного уровня и контрольных участков, поэтому значение AUEC принято равным 0 при нулевой длительности воздействия дозы.</w:t>
      </w:r>
    </w:p>
    <w:bookmarkEnd w:id="244"/>
    <w:bookmarkStart w:name="z256" w:id="245"/>
    <w:p>
      <w:pPr>
        <w:spacing w:after="0"/>
        <w:ind w:left="0"/>
        <w:jc w:val="both"/>
      </w:pPr>
      <w:r>
        <w:rPr>
          <w:rFonts w:ascii="Times New Roman"/>
          <w:b w:val="false"/>
          <w:i w:val="false"/>
          <w:color w:val="000000"/>
          <w:sz w:val="28"/>
        </w:rPr>
        <w:t>
      3. Подгонка кривой для модели E</w:t>
      </w:r>
      <w:r>
        <w:rPr>
          <w:rFonts w:ascii="Times New Roman"/>
          <w:b w:val="false"/>
          <w:i w:val="false"/>
          <w:color w:val="000000"/>
          <w:vertAlign w:val="subscript"/>
        </w:rPr>
        <w:t>max</w:t>
      </w:r>
      <w:r>
        <w:rPr>
          <w:rFonts w:ascii="Times New Roman"/>
          <w:b w:val="false"/>
          <w:i w:val="false"/>
          <w:color w:val="000000"/>
          <w:sz w:val="28"/>
        </w:rPr>
        <w:t xml:space="preserve"> производилась с использованием программного обеспечения для популяционного фармакокинетическо-фармакодинамического моделирования данных. Популяционные значения после подгонки кривой составляли: ED</w:t>
      </w:r>
      <w:r>
        <w:rPr>
          <w:rFonts w:ascii="Times New Roman"/>
          <w:b w:val="false"/>
          <w:i w:val="false"/>
          <w:color w:val="000000"/>
          <w:vertAlign w:val="subscript"/>
        </w:rPr>
        <w:t>50</w:t>
      </w:r>
      <w:r>
        <w:rPr>
          <w:rFonts w:ascii="Times New Roman"/>
          <w:b w:val="false"/>
          <w:i w:val="false"/>
          <w:color w:val="000000"/>
          <w:sz w:val="28"/>
        </w:rPr>
        <w:t xml:space="preserve"> = 1,89 ч, E</w:t>
      </w:r>
      <w:r>
        <w:rPr>
          <w:rFonts w:ascii="Times New Roman"/>
          <w:b w:val="false"/>
          <w:i w:val="false"/>
          <w:color w:val="000000"/>
          <w:vertAlign w:val="subscript"/>
        </w:rPr>
        <w:t>max</w:t>
      </w:r>
      <w:r>
        <w:rPr>
          <w:rFonts w:ascii="Times New Roman"/>
          <w:b w:val="false"/>
          <w:i w:val="false"/>
          <w:color w:val="000000"/>
          <w:sz w:val="28"/>
        </w:rPr>
        <w:t xml:space="preserve"> = 48,80 единиц шкалы хромаметра в час.</w:t>
      </w:r>
    </w:p>
    <w:bookmarkEnd w:id="245"/>
    <w:bookmarkStart w:name="z257" w:id="246"/>
    <w:p>
      <w:pPr>
        <w:spacing w:after="0"/>
        <w:ind w:left="0"/>
        <w:jc w:val="both"/>
      </w:pPr>
      <w:r>
        <w:rPr>
          <w:rFonts w:ascii="Times New Roman"/>
          <w:b w:val="false"/>
          <w:i w:val="false"/>
          <w:color w:val="000000"/>
          <w:sz w:val="28"/>
        </w:rPr>
        <w:t>
      4. На основе этих данных о длительности воздействия, дозы отобранные как приблизительное значение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для сравнения исследуемого и референтного лекарственных препаратов, а также значения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для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составили: приблизительное значение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 2,0 ч, D</w:t>
      </w:r>
      <w:r>
        <w:rPr>
          <w:rFonts w:ascii="Times New Roman"/>
          <w:b w:val="false"/>
          <w:i w:val="false"/>
          <w:color w:val="000000"/>
          <w:vertAlign w:val="subscript"/>
        </w:rPr>
        <w:t>1</w:t>
      </w:r>
      <w:r>
        <w:rPr>
          <w:rFonts w:ascii="Times New Roman"/>
          <w:b w:val="false"/>
          <w:i w:val="false"/>
          <w:color w:val="000000"/>
          <w:sz w:val="28"/>
        </w:rPr>
        <w:t xml:space="preserve"> = 1,0 ч и D</w:t>
      </w:r>
      <w:r>
        <w:rPr>
          <w:rFonts w:ascii="Times New Roman"/>
          <w:b w:val="false"/>
          <w:i w:val="false"/>
          <w:color w:val="000000"/>
          <w:vertAlign w:val="subscript"/>
        </w:rPr>
        <w:t>2</w:t>
      </w:r>
      <w:r>
        <w:rPr>
          <w:rFonts w:ascii="Times New Roman"/>
          <w:b w:val="false"/>
          <w:i w:val="false"/>
          <w:color w:val="000000"/>
          <w:sz w:val="28"/>
        </w:rPr>
        <w:t xml:space="preserve"> = 4,0 ч.</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259" w:id="247"/>
    <w:p>
      <w:pPr>
        <w:spacing w:after="0"/>
        <w:ind w:left="0"/>
        <w:jc w:val="left"/>
      </w:pPr>
      <w:r>
        <w:rPr>
          <w:rFonts w:ascii="Times New Roman"/>
          <w:b/>
          <w:i w:val="false"/>
          <w:color w:val="000000"/>
        </w:rPr>
        <w:t xml:space="preserve"> ПРИМЕР</w:t>
      </w:r>
      <w:r>
        <w:br/>
      </w:r>
      <w:r>
        <w:rPr>
          <w:rFonts w:ascii="Times New Roman"/>
          <w:b/>
          <w:i w:val="false"/>
          <w:color w:val="000000"/>
        </w:rPr>
        <w:t>табличного представления результатов данных основного (опорного) исследования и их анализа</w:t>
      </w:r>
    </w:p>
    <w:bookmarkEnd w:id="247"/>
    <w:bookmarkStart w:name="z260" w:id="248"/>
    <w:p>
      <w:pPr>
        <w:spacing w:after="0"/>
        <w:ind w:left="0"/>
        <w:jc w:val="both"/>
      </w:pPr>
      <w:r>
        <w:rPr>
          <w:rFonts w:ascii="Times New Roman"/>
          <w:b w:val="false"/>
          <w:i w:val="false"/>
          <w:color w:val="000000"/>
          <w:sz w:val="28"/>
        </w:rPr>
        <w:t>
      1. В настоящем документе представлены хромаметрические данные и значения AUEC</w:t>
      </w:r>
      <w:r>
        <w:rPr>
          <w:rFonts w:ascii="Times New Roman"/>
          <w:b w:val="false"/>
          <w:i w:val="false"/>
          <w:color w:val="000000"/>
          <w:vertAlign w:val="subscript"/>
        </w:rPr>
        <w:t>(0-24)</w:t>
      </w:r>
      <w:r>
        <w:rPr>
          <w:rFonts w:ascii="Times New Roman"/>
          <w:b w:val="false"/>
          <w:i w:val="false"/>
          <w:color w:val="000000"/>
          <w:sz w:val="28"/>
        </w:rPr>
        <w:t xml:space="preserve">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соответствующего пилотному исследованию, приведенному в приложении № 3 к Требованиям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(далее – Требования). В основном (опорном) исследовании сравнение основано на анализе зависимости "длительность воздействия дозы – ответ", приведенном в пункте 4 примера результатов пилотного исследования (приложение № 3 к Требованиям).</w:t>
      </w:r>
    </w:p>
    <w:bookmarkEnd w:id="248"/>
    <w:bookmarkStart w:name="z261" w:id="249"/>
    <w:p>
      <w:pPr>
        <w:spacing w:after="0"/>
        <w:ind w:left="0"/>
        <w:jc w:val="both"/>
      </w:pPr>
      <w:r>
        <w:rPr>
          <w:rFonts w:ascii="Times New Roman"/>
          <w:b w:val="false"/>
          <w:i w:val="false"/>
          <w:color w:val="000000"/>
          <w:sz w:val="28"/>
        </w:rPr>
        <w:t>
      2. В настоящем документе даны рекомендации по использованию 2 контрольных участков без нанесения лекарственного препарата на каждой руке и вычитанию среднего значения для этих 2 участков из каждого значения участка с нанесением лекарственного препарата на той же руке.</w:t>
      </w:r>
    </w:p>
    <w:bookmarkEnd w:id="249"/>
    <w:bookmarkStart w:name="z262" w:id="250"/>
    <w:p>
      <w:pPr>
        <w:spacing w:after="0"/>
        <w:ind w:left="0"/>
        <w:jc w:val="both"/>
      </w:pPr>
      <w:r>
        <w:rPr>
          <w:rFonts w:ascii="Times New Roman"/>
          <w:b w:val="false"/>
          <w:i w:val="false"/>
          <w:color w:val="000000"/>
          <w:sz w:val="28"/>
        </w:rPr>
        <w:t>
      3. В таблице 1 представлены исходные данные для 1 субъекта за 24 часа. В таблице 2 представлены данные с поправкой на исходный уровень. В таблице 3 представлены данные, скорректированные относительно контрольных участков без нанесения после поправки на исходный уровень. В настоящем примере каждый участок нанесения лекарственного препарата корректировался согласно соответствующему контрольному участку без нанесения лекарственного препарата.</w:t>
      </w:r>
    </w:p>
    <w:bookmarkEnd w:id="250"/>
    <w:bookmarkStart w:name="z263" w:id="251"/>
    <w:p>
      <w:pPr>
        <w:spacing w:after="0"/>
        <w:ind w:left="0"/>
        <w:jc w:val="both"/>
      </w:pPr>
      <w:r>
        <w:rPr>
          <w:rFonts w:ascii="Times New Roman"/>
          <w:b w:val="false"/>
          <w:i w:val="false"/>
          <w:color w:val="000000"/>
          <w:sz w:val="28"/>
        </w:rPr>
        <w:t>
      4. В таблице 4 представлены значения, скорректированные относительно контрольных участков после поправки на исходный уровень для исследуемого и референтного лекарственных препаратов для всех субъектов. В таблице 5 представлены данные. AUEC</w:t>
      </w:r>
      <w:r>
        <w:rPr>
          <w:rFonts w:ascii="Times New Roman"/>
          <w:b w:val="false"/>
          <w:i w:val="false"/>
          <w:color w:val="000000"/>
          <w:vertAlign w:val="subscript"/>
        </w:rPr>
        <w:t>(0-24)</w:t>
      </w:r>
      <w:r>
        <w:rPr>
          <w:rFonts w:ascii="Times New Roman"/>
          <w:b w:val="false"/>
          <w:i w:val="false"/>
          <w:color w:val="000000"/>
          <w:sz w:val="28"/>
        </w:rPr>
        <w:t xml:space="preserve"> для правой и левой руки и средние значения двух рук для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для всех субъектов. В таблице 5 определены "детекторы", то есть пригодные к оценке субъекты, удовлетворяющие критерию "длительность воздействия дозы – ответ". В таблице 6 представлены данные AUEC</w:t>
      </w:r>
      <w:r>
        <w:rPr>
          <w:rFonts w:ascii="Times New Roman"/>
          <w:b w:val="false"/>
          <w:i w:val="false"/>
          <w:color w:val="000000"/>
          <w:vertAlign w:val="subscript"/>
        </w:rPr>
        <w:t>(0-24)</w:t>
      </w:r>
      <w:r>
        <w:rPr>
          <w:rFonts w:ascii="Times New Roman"/>
          <w:b w:val="false"/>
          <w:i w:val="false"/>
          <w:color w:val="000000"/>
          <w:sz w:val="28"/>
        </w:rPr>
        <w:t xml:space="preserve"> для правой и левой руки и средние значения двух рук для исследуемого и референтного лекарственных препаратов для всех субъектов для длительности воздействия дозы 2,0 часа, выделены средние значения AUEC</w:t>
      </w:r>
      <w:r>
        <w:rPr>
          <w:rFonts w:ascii="Times New Roman"/>
          <w:b w:val="false"/>
          <w:i w:val="false"/>
          <w:color w:val="000000"/>
          <w:vertAlign w:val="subscript"/>
        </w:rPr>
        <w:t>(0-24)</w:t>
      </w:r>
      <w:r>
        <w:rPr>
          <w:rFonts w:ascii="Times New Roman"/>
          <w:b w:val="false"/>
          <w:i w:val="false"/>
          <w:color w:val="000000"/>
          <w:sz w:val="28"/>
        </w:rPr>
        <w:t xml:space="preserve"> двух рук для "детекторов". Только данные "детекторов", включены в оценку биоэквивалентности, как описано в приложении № 5 к Требованиям.</w:t>
      </w:r>
    </w:p>
    <w:bookmarkEnd w:id="251"/>
    <w:bookmarkStart w:name="z264" w:id="252"/>
    <w:p>
      <w:pPr>
        <w:spacing w:after="0"/>
        <w:ind w:left="0"/>
        <w:jc w:val="both"/>
      </w:pPr>
      <w:r>
        <w:rPr>
          <w:rFonts w:ascii="Times New Roman"/>
          <w:b w:val="false"/>
          <w:i w:val="false"/>
          <w:color w:val="000000"/>
          <w:sz w:val="28"/>
        </w:rPr>
        <w:t>
      Таблица 1</w:t>
      </w:r>
    </w:p>
    <w:bookmarkEnd w:id="252"/>
    <w:bookmarkStart w:name="z265" w:id="253"/>
    <w:p>
      <w:pPr>
        <w:spacing w:after="0"/>
        <w:ind w:left="0"/>
        <w:jc w:val="left"/>
      </w:pPr>
      <w:r>
        <w:rPr>
          <w:rFonts w:ascii="Times New Roman"/>
          <w:b/>
          <w:i w:val="false"/>
          <w:color w:val="000000"/>
        </w:rPr>
        <w:t xml:space="preserve"> Исходные хромаметрические данные для субъекта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12"/>
        <w:gridCol w:w="846"/>
        <w:gridCol w:w="478"/>
        <w:gridCol w:w="1245"/>
        <w:gridCol w:w="1140"/>
        <w:gridCol w:w="1404"/>
        <w:gridCol w:w="1404"/>
        <w:gridCol w:w="1141"/>
        <w:gridCol w:w="1405"/>
        <w:gridCol w:w="1141"/>
        <w:gridCol w:w="1406"/>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(обработанный/не обработанный лекарственным препаратом)</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bl>
    <w:bookmarkStart w:name="z266" w:id="254"/>
    <w:p>
      <w:pPr>
        <w:spacing w:after="0"/>
        <w:ind w:left="0"/>
        <w:jc w:val="both"/>
      </w:pPr>
      <w:r>
        <w:rPr>
          <w:rFonts w:ascii="Times New Roman"/>
          <w:b w:val="false"/>
          <w:i w:val="false"/>
          <w:color w:val="000000"/>
          <w:sz w:val="28"/>
        </w:rPr>
        <w:t>
      Примечания: Обработка:</w:t>
      </w:r>
    </w:p>
    <w:bookmarkEnd w:id="254"/>
    <w:bookmarkStart w:name="z267" w:id="255"/>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(1 ч)</w:t>
      </w:r>
    </w:p>
    <w:bookmarkEnd w:id="255"/>
    <w:bookmarkStart w:name="z268" w:id="256"/>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(4 ч)</w:t>
      </w:r>
    </w:p>
    <w:bookmarkEnd w:id="256"/>
    <w:bookmarkStart w:name="z269" w:id="257"/>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257"/>
    <w:bookmarkStart w:name="z270" w:id="258"/>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258"/>
    <w:bookmarkStart w:name="z271" w:id="259"/>
    <w:p>
      <w:pPr>
        <w:spacing w:after="0"/>
        <w:ind w:left="0"/>
        <w:jc w:val="both"/>
      </w:pPr>
      <w:r>
        <w:rPr>
          <w:rFonts w:ascii="Times New Roman"/>
          <w:b w:val="false"/>
          <w:i w:val="false"/>
          <w:color w:val="000000"/>
          <w:sz w:val="28"/>
        </w:rPr>
        <w:t>
      Таблица 2</w:t>
      </w:r>
    </w:p>
    <w:bookmarkEnd w:id="259"/>
    <w:bookmarkStart w:name="z272" w:id="260"/>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70"/>
        <w:gridCol w:w="920"/>
        <w:gridCol w:w="519"/>
        <w:gridCol w:w="856"/>
        <w:gridCol w:w="422"/>
        <w:gridCol w:w="1432"/>
        <w:gridCol w:w="1432"/>
        <w:gridCol w:w="1432"/>
        <w:gridCol w:w="1432"/>
        <w:gridCol w:w="1433"/>
        <w:gridCol w:w="1433"/>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w:t>
            </w:r>
            <w:r>
              <w:br/>
            </w:r>
            <w:r>
              <w:rPr>
                <w:rFonts w:ascii="Times New Roman"/>
                <w:b w:val="false"/>
                <w:i w:val="false"/>
                <w:color w:val="000000"/>
                <w:sz w:val="20"/>
              </w:rPr>
              <w:t>не обработанный лекарственным препаратом)</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bl>
    <w:bookmarkStart w:name="z273" w:id="261"/>
    <w:p>
      <w:pPr>
        <w:spacing w:after="0"/>
        <w:ind w:left="0"/>
        <w:jc w:val="both"/>
      </w:pPr>
      <w:r>
        <w:rPr>
          <w:rFonts w:ascii="Times New Roman"/>
          <w:b w:val="false"/>
          <w:i w:val="false"/>
          <w:color w:val="000000"/>
          <w:sz w:val="28"/>
        </w:rPr>
        <w:t>
      Примечания: Обработка:</w:t>
      </w:r>
    </w:p>
    <w:bookmarkEnd w:id="261"/>
    <w:bookmarkStart w:name="z274" w:id="262"/>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(1 ч)</w:t>
      </w:r>
    </w:p>
    <w:bookmarkEnd w:id="262"/>
    <w:bookmarkStart w:name="z275" w:id="263"/>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(2 ч)</w:t>
      </w:r>
    </w:p>
    <w:bookmarkEnd w:id="263"/>
    <w:bookmarkStart w:name="z276" w:id="264"/>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264"/>
    <w:bookmarkStart w:name="z277" w:id="265"/>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265"/>
    <w:bookmarkStart w:name="z278" w:id="266"/>
    <w:p>
      <w:pPr>
        <w:spacing w:after="0"/>
        <w:ind w:left="0"/>
        <w:jc w:val="both"/>
      </w:pPr>
      <w:r>
        <w:rPr>
          <w:rFonts w:ascii="Times New Roman"/>
          <w:b w:val="false"/>
          <w:i w:val="false"/>
          <w:color w:val="000000"/>
          <w:sz w:val="28"/>
        </w:rPr>
        <w:t>
      Таблица 3</w:t>
      </w:r>
    </w:p>
    <w:bookmarkEnd w:id="266"/>
    <w:bookmarkStart w:name="z279" w:id="267"/>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 скорректированные по контрольным участкам</w:t>
      </w:r>
      <w:r>
        <w:br/>
      </w:r>
      <w:r>
        <w:rPr>
          <w:rFonts w:ascii="Times New Roman"/>
          <w:b/>
          <w:i w:val="false"/>
          <w:color w:val="000000"/>
        </w:rPr>
        <w:t>без нанесения лекарственного препарата и данные AUEC</w:t>
      </w:r>
      <w:r>
        <w:rPr>
          <w:rFonts w:ascii="Times New Roman"/>
          <w:b/>
          <w:i w:val="false"/>
          <w:color w:val="000000"/>
          <w:vertAlign w:val="subscript"/>
        </w:rPr>
        <w:t>(0-24)</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83"/>
        <w:gridCol w:w="730"/>
        <w:gridCol w:w="412"/>
        <w:gridCol w:w="1036"/>
        <w:gridCol w:w="335"/>
        <w:gridCol w:w="1135"/>
        <w:gridCol w:w="1136"/>
        <w:gridCol w:w="1136"/>
        <w:gridCol w:w="1136"/>
        <w:gridCol w:w="1136"/>
        <w:gridCol w:w="1136"/>
        <w:gridCol w:w="2377"/>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r>
    </w:tbl>
    <w:bookmarkStart w:name="z280" w:id="268"/>
    <w:p>
      <w:pPr>
        <w:spacing w:after="0"/>
        <w:ind w:left="0"/>
        <w:jc w:val="both"/>
      </w:pPr>
      <w:r>
        <w:rPr>
          <w:rFonts w:ascii="Times New Roman"/>
          <w:b w:val="false"/>
          <w:i w:val="false"/>
          <w:color w:val="000000"/>
          <w:sz w:val="28"/>
        </w:rPr>
        <w:t>
      Примечание: Обработка:</w:t>
      </w:r>
    </w:p>
    <w:bookmarkEnd w:id="268"/>
    <w:bookmarkStart w:name="z281" w:id="269"/>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(1 ч)</w:t>
      </w:r>
    </w:p>
    <w:bookmarkEnd w:id="269"/>
    <w:bookmarkStart w:name="z282" w:id="270"/>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(4 ч)</w:t>
      </w:r>
    </w:p>
    <w:bookmarkEnd w:id="270"/>
    <w:bookmarkStart w:name="z283" w:id="271"/>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271"/>
    <w:bookmarkStart w:name="z284" w:id="272"/>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272"/>
    <w:bookmarkStart w:name="z285" w:id="273"/>
    <w:p>
      <w:pPr>
        <w:spacing w:after="0"/>
        <w:ind w:left="0"/>
        <w:jc w:val="both"/>
      </w:pPr>
      <w:r>
        <w:rPr>
          <w:rFonts w:ascii="Times New Roman"/>
          <w:b w:val="false"/>
          <w:i w:val="false"/>
          <w:color w:val="000000"/>
          <w:sz w:val="28"/>
        </w:rPr>
        <w:t>
      Таблица 4</w:t>
      </w:r>
    </w:p>
    <w:bookmarkEnd w:id="273"/>
    <w:bookmarkStart w:name="z286" w:id="274"/>
    <w:p>
      <w:pPr>
        <w:spacing w:after="0"/>
        <w:ind w:left="0"/>
        <w:jc w:val="left"/>
      </w:pPr>
      <w:r>
        <w:rPr>
          <w:rFonts w:ascii="Times New Roman"/>
          <w:b/>
          <w:i w:val="false"/>
          <w:color w:val="000000"/>
        </w:rPr>
        <w:t xml:space="preserve"> Значения показаний хромаметра с поправкой на исходный уровень, скорректированные по контрольным участкам без нанесения лекарственного препарата для 12 субъектов исследования</w:t>
      </w:r>
    </w:p>
    <w:bookmarkEnd w:id="274"/>
    <w:bookmarkStart w:name="z287" w:id="275"/>
    <w:p>
      <w:pPr>
        <w:spacing w:after="0"/>
        <w:ind w:left="0"/>
        <w:jc w:val="left"/>
      </w:pPr>
      <w:r>
        <w:rPr>
          <w:rFonts w:ascii="Times New Roman"/>
          <w:b/>
          <w:i w:val="false"/>
          <w:color w:val="000000"/>
        </w:rPr>
        <w:t xml:space="preserve"> Исследуемый лекарственный препарат</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11"/>
        <w:gridCol w:w="1001"/>
        <w:gridCol w:w="565"/>
        <w:gridCol w:w="1557"/>
        <w:gridCol w:w="1557"/>
        <w:gridCol w:w="1558"/>
        <w:gridCol w:w="1558"/>
        <w:gridCol w:w="1558"/>
        <w:gridCol w:w="1558"/>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SD</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среднего значения, SE</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вариации, % CV</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Обработка В – исследуемый лекарственный препарат при длительности воздействия дозы 2 часа</w:t>
            </w:r>
          </w:p>
          <w:bookmarkEnd w:id="276"/>
        </w:tc>
      </w:tr>
    </w:tbl>
    <w:bookmarkStart w:name="z289" w:id="277"/>
    <w:p>
      <w:pPr>
        <w:spacing w:after="0"/>
        <w:ind w:left="0"/>
        <w:jc w:val="left"/>
      </w:pPr>
      <w:r>
        <w:rPr>
          <w:rFonts w:ascii="Times New Roman"/>
          <w:b/>
          <w:i w:val="false"/>
          <w:color w:val="000000"/>
        </w:rPr>
        <w:t xml:space="preserve"> Референтный лекарственный препарат</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11"/>
        <w:gridCol w:w="1001"/>
        <w:gridCol w:w="565"/>
        <w:gridCol w:w="1557"/>
        <w:gridCol w:w="1557"/>
        <w:gridCol w:w="1558"/>
        <w:gridCol w:w="1558"/>
        <w:gridCol w:w="1558"/>
        <w:gridCol w:w="1558"/>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SD</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среднего значения, SE</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вариации, % СV</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290" w:id="278"/>
    <w:p>
      <w:pPr>
        <w:spacing w:after="0"/>
        <w:ind w:left="0"/>
        <w:jc w:val="both"/>
      </w:pPr>
      <w:r>
        <w:rPr>
          <w:rFonts w:ascii="Times New Roman"/>
          <w:b w:val="false"/>
          <w:i w:val="false"/>
          <w:color w:val="000000"/>
          <w:sz w:val="28"/>
        </w:rPr>
        <w:t>
      *Примечание:</w:t>
      </w:r>
    </w:p>
    <w:bookmarkEnd w:id="278"/>
    <w:bookmarkStart w:name="z291" w:id="279"/>
    <w:p>
      <w:pPr>
        <w:spacing w:after="0"/>
        <w:ind w:left="0"/>
        <w:jc w:val="both"/>
      </w:pPr>
      <w:r>
        <w:rPr>
          <w:rFonts w:ascii="Times New Roman"/>
          <w:b w:val="false"/>
          <w:i w:val="false"/>
          <w:color w:val="000000"/>
          <w:sz w:val="28"/>
        </w:rPr>
        <w:t>
      Обработка Г – референтный лекарственный препарат при длительности воздействия дозы 2 часа</w:t>
      </w:r>
    </w:p>
    <w:bookmarkEnd w:id="279"/>
    <w:bookmarkStart w:name="z292" w:id="280"/>
    <w:p>
      <w:pPr>
        <w:spacing w:after="0"/>
        <w:ind w:left="0"/>
        <w:jc w:val="both"/>
      </w:pPr>
      <w:r>
        <w:rPr>
          <w:rFonts w:ascii="Times New Roman"/>
          <w:b w:val="false"/>
          <w:i w:val="false"/>
          <w:color w:val="000000"/>
          <w:sz w:val="28"/>
        </w:rPr>
        <w:t>
      Таблица 5</w:t>
      </w:r>
    </w:p>
    <w:bookmarkEnd w:id="280"/>
    <w:bookmarkStart w:name="z293" w:id="281"/>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правой и левой руки и среднее значение для двух рук при длительностях воздействия дозы, равных D</w:t>
      </w:r>
      <w:r>
        <w:rPr>
          <w:rFonts w:ascii="Times New Roman"/>
          <w:b/>
          <w:i w:val="false"/>
          <w:color w:val="000000"/>
          <w:vertAlign w:val="subscript"/>
        </w:rPr>
        <w:t>1</w:t>
      </w:r>
      <w:r>
        <w:rPr>
          <w:rFonts w:ascii="Times New Roman"/>
          <w:b/>
          <w:i w:val="false"/>
          <w:color w:val="000000"/>
          <w:vertAlign w:val="subscript"/>
        </w:rPr>
        <w:t xml:space="preserve"> </w:t>
      </w:r>
      <w:r>
        <w:rPr>
          <w:rFonts w:ascii="Times New Roman"/>
          <w:b/>
          <w:i w:val="false"/>
          <w:color w:val="000000"/>
        </w:rPr>
        <w:t>и D</w:t>
      </w:r>
      <w:r>
        <w:rPr>
          <w:rFonts w:ascii="Times New Roman"/>
          <w:b/>
          <w:i w:val="false"/>
          <w:color w:val="000000"/>
          <w:vertAlign w:val="subscript"/>
        </w:rPr>
        <w:t>2</w:t>
      </w:r>
      <w:r>
        <w:rPr>
          <w:rFonts w:ascii="Times New Roman"/>
          <w:b/>
          <w:i w:val="false"/>
          <w:color w:val="000000"/>
        </w:rPr>
        <w:t>, а также отношение среднего значения AUEC при D</w:t>
      </w:r>
      <w:r>
        <w:rPr>
          <w:rFonts w:ascii="Times New Roman"/>
          <w:b/>
          <w:i w:val="false"/>
          <w:color w:val="000000"/>
          <w:vertAlign w:val="subscript"/>
        </w:rPr>
        <w:t>2</w:t>
      </w:r>
      <w:r>
        <w:rPr>
          <w:rFonts w:ascii="Times New Roman"/>
          <w:b/>
          <w:i w:val="false"/>
          <w:color w:val="000000"/>
        </w:rPr>
        <w:t xml:space="preserve"> к среднему значению AUEC при D</w:t>
      </w:r>
      <w:r>
        <w:rPr>
          <w:rFonts w:ascii="Times New Roman"/>
          <w:b/>
          <w:i w:val="false"/>
          <w:color w:val="000000"/>
          <w:vertAlign w:val="subscript"/>
        </w:rPr>
        <w:t>1</w:t>
      </w:r>
      <w:r>
        <w:rPr>
          <w:rFonts w:ascii="Times New Roman"/>
          <w:b/>
          <w:i w:val="false"/>
          <w:color w:val="000000"/>
          <w:vertAlign w:val="subscript"/>
        </w:rPr>
        <w:t xml:space="preserve"> </w:t>
      </w:r>
      <w:r>
        <w:rPr>
          <w:rFonts w:ascii="Times New Roman"/>
          <w:b/>
          <w:i w:val="false"/>
          <w:color w:val="000000"/>
        </w:rPr>
        <w:t>для 12 субъектов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55"/>
        <w:gridCol w:w="1281"/>
        <w:gridCol w:w="1657"/>
        <w:gridCol w:w="574"/>
        <w:gridCol w:w="656"/>
        <w:gridCol w:w="1281"/>
        <w:gridCol w:w="1658"/>
        <w:gridCol w:w="39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sz w:val="20"/>
              </w:rPr>
              <w:t xml:space="preserve"> при D</w:t>
            </w:r>
            <w:r>
              <w:rPr>
                <w:rFonts w:ascii="Times New Roman"/>
                <w:b w:val="false"/>
                <w:i w:val="false"/>
                <w:color w:val="000000"/>
                <w:vertAlign w:val="sub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0"/>
              </w:rPr>
              <w:t>при D</w:t>
            </w:r>
            <w:r>
              <w:rPr>
                <w:rFonts w:ascii="Times New Roman"/>
                <w:b w:val="false"/>
                <w:i w:val="false"/>
                <w:color w:val="000000"/>
                <w:vertAlign w:val="subscript"/>
              </w:rPr>
              <w:t>2</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при D</w:t>
            </w:r>
            <w:r>
              <w:rPr>
                <w:rFonts w:ascii="Times New Roman"/>
                <w:b w:val="false"/>
                <w:i w:val="false"/>
                <w:color w:val="000000"/>
                <w:vertAlign w:val="subscript"/>
              </w:rPr>
              <w:t>2</w:t>
            </w:r>
            <w:r>
              <w:rPr>
                <w:rFonts w:ascii="Times New Roman"/>
                <w:b w:val="false"/>
                <w:i w:val="false"/>
                <w:color w:val="000000"/>
                <w:sz w:val="20"/>
              </w:rPr>
              <w:t>/ AUEC при D</w:t>
            </w:r>
            <w:r>
              <w:rPr>
                <w:rFonts w:ascii="Times New Roman"/>
                <w:b w:val="false"/>
                <w:i w:val="false"/>
                <w:color w:val="000000"/>
                <w:vertAlign w:val="subscript"/>
              </w:rPr>
              <w:t>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Значения, взятые в рамку указывают, что отношение среднего значения AUEC при D</w:t>
            </w:r>
            <w:r>
              <w:rPr>
                <w:rFonts w:ascii="Times New Roman"/>
                <w:b w:val="false"/>
                <w:i w:val="false"/>
                <w:color w:val="000000"/>
                <w:vertAlign w:val="subscript"/>
              </w:rPr>
              <w:t>2</w:t>
            </w:r>
            <w:r>
              <w:rPr>
                <w:rFonts w:ascii="Times New Roman"/>
                <w:b w:val="false"/>
                <w:i w:val="false"/>
                <w:color w:val="000000"/>
                <w:sz w:val="20"/>
              </w:rPr>
              <w:t xml:space="preserve"> к D</w:t>
            </w:r>
            <w:r>
              <w:rPr>
                <w:rFonts w:ascii="Times New Roman"/>
                <w:b w:val="false"/>
                <w:i w:val="false"/>
                <w:color w:val="000000"/>
                <w:vertAlign w:val="subscript"/>
              </w:rPr>
              <w:t>1</w:t>
            </w:r>
            <w:r>
              <w:rPr>
                <w:rFonts w:ascii="Times New Roman"/>
                <w:b w:val="false"/>
                <w:i w:val="false"/>
                <w:color w:val="000000"/>
                <w:sz w:val="20"/>
              </w:rPr>
              <w:t xml:space="preserve">  1,25.</w:t>
            </w:r>
          </w:p>
        </w:tc>
      </w:tr>
    </w:tbl>
    <w:bookmarkStart w:name="z294" w:id="282"/>
    <w:p>
      <w:pPr>
        <w:spacing w:after="0"/>
        <w:ind w:left="0"/>
        <w:jc w:val="both"/>
      </w:pPr>
      <w:r>
        <w:rPr>
          <w:rFonts w:ascii="Times New Roman"/>
          <w:b w:val="false"/>
          <w:i w:val="false"/>
          <w:color w:val="000000"/>
          <w:sz w:val="28"/>
        </w:rPr>
        <w:t xml:space="preserve">
      Таблица 6 </w:t>
      </w:r>
    </w:p>
    <w:bookmarkEnd w:id="282"/>
    <w:bookmarkStart w:name="z295" w:id="283"/>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правой и левой руки и среднее значение для двух рук для исследуемого и референтного лекарственных препаратов для 12 субъектов при длительности воздействия дозы, равной 2 часа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88"/>
        <w:gridCol w:w="501"/>
        <w:gridCol w:w="1736"/>
        <w:gridCol w:w="2245"/>
        <w:gridCol w:w="778"/>
        <w:gridCol w:w="889"/>
        <w:gridCol w:w="501"/>
        <w:gridCol w:w="1736"/>
        <w:gridCol w:w="22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0"/>
              </w:rPr>
              <w:t>исследуемого лекарственного препарата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0"/>
              </w:rPr>
              <w:t>референтного лекарственного препарата</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SD</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SD</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среднего значения, SE</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среднего значения, SE</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вариации, %СV</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вариации, %СV</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296" w:id="284"/>
    <w:p>
      <w:pPr>
        <w:spacing w:after="0"/>
        <w:ind w:left="0"/>
        <w:jc w:val="both"/>
      </w:pPr>
      <w:r>
        <w:rPr>
          <w:rFonts w:ascii="Times New Roman"/>
          <w:b w:val="false"/>
          <w:i w:val="false"/>
          <w:color w:val="000000"/>
          <w:sz w:val="28"/>
        </w:rPr>
        <w:t>
      Примечание: Обведены данные AUEC семи субъектов, у которых отношение AUEC при D</w:t>
      </w:r>
      <w:r>
        <w:rPr>
          <w:rFonts w:ascii="Times New Roman"/>
          <w:b w:val="false"/>
          <w:i w:val="false"/>
          <w:color w:val="000000"/>
          <w:vertAlign w:val="subscript"/>
        </w:rPr>
        <w:t>2</w:t>
      </w:r>
      <w:r>
        <w:rPr>
          <w:rFonts w:ascii="Times New Roman"/>
          <w:b w:val="false"/>
          <w:i w:val="false"/>
          <w:color w:val="000000"/>
          <w:sz w:val="28"/>
        </w:rPr>
        <w:t xml:space="preserve"> к D</w:t>
      </w:r>
      <w:r>
        <w:rPr>
          <w:rFonts w:ascii="Times New Roman"/>
          <w:b w:val="false"/>
          <w:i w:val="false"/>
          <w:color w:val="000000"/>
          <w:vertAlign w:val="subscript"/>
        </w:rPr>
        <w:t>1</w:t>
      </w:r>
      <w:r>
        <w:rPr>
          <w:rFonts w:ascii="Times New Roman"/>
          <w:b w:val="false"/>
          <w:i w:val="false"/>
          <w:color w:val="000000"/>
          <w:sz w:val="28"/>
        </w:rPr>
        <w:t xml:space="preserve">  1,25 (таблица 5), то есть субъектов исследования, пригодных к оценке. Эти данные AUEC использованы для расчета 90% доверительного интервала согласно приложению № 5 к Требованиям.</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298" w:id="285"/>
    <w:p>
      <w:pPr>
        <w:spacing w:after="0"/>
        <w:ind w:left="0"/>
        <w:jc w:val="left"/>
      </w:pPr>
      <w:r>
        <w:rPr>
          <w:rFonts w:ascii="Times New Roman"/>
          <w:b/>
          <w:i w:val="false"/>
          <w:color w:val="000000"/>
        </w:rPr>
        <w:t xml:space="preserve"> РАСЧЕТ</w:t>
      </w:r>
      <w:r>
        <w:br/>
      </w:r>
      <w:r>
        <w:rPr>
          <w:rFonts w:ascii="Times New Roman"/>
          <w:b/>
          <w:i w:val="false"/>
          <w:color w:val="000000"/>
        </w:rPr>
        <w:t>точного 90 % доверительного интервала</w:t>
      </w:r>
      <w:r>
        <w:br/>
      </w:r>
      <w:r>
        <w:rPr>
          <w:rFonts w:ascii="Times New Roman"/>
          <w:b/>
          <w:i w:val="false"/>
          <w:color w:val="000000"/>
        </w:rPr>
        <w:t>для непреобразованных данных по Locke C.S.</w:t>
      </w:r>
    </w:p>
    <w:bookmarkEnd w:id="285"/>
    <w:bookmarkStart w:name="z299" w:id="286"/>
    <w:p>
      <w:pPr>
        <w:spacing w:after="0"/>
        <w:ind w:left="0"/>
        <w:jc w:val="both"/>
      </w:pPr>
      <w:r>
        <w:rPr>
          <w:rFonts w:ascii="Times New Roman"/>
          <w:b w:val="false"/>
          <w:i w:val="false"/>
          <w:color w:val="000000"/>
          <w:sz w:val="28"/>
        </w:rPr>
        <w:t>
      В настоящем документе представлена методика расчета точного 90 % доверительного интервала по непреобразованным данным основного (опорного) исследования биоэквивалентности приведенным в таблице 6 приложения № 5 к Требованиям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Для расчета доверительного интервала использованы только средние значения AUEC "детекторов". Средние значения AUEC субъектов исследования в основном (опорном) исследовании, соответствующие критерию "длительность воздействия дозы – ответ", приведенному в пункте 71 Требований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приведены в следующей таблице.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578"/>
        <w:gridCol w:w="5579"/>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0"/>
              </w:rPr>
              <w:t>исследуемого лекарственного препарата (среднее)</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0"/>
              </w:rPr>
              <w:t>референтного лекарственного препарата (среднее)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bl>
    <w:bookmarkStart w:name="z300" w:id="287"/>
    <w:p>
      <w:pPr>
        <w:spacing w:after="0"/>
        <w:ind w:left="0"/>
        <w:jc w:val="both"/>
      </w:pPr>
      <w:r>
        <w:rPr>
          <w:rFonts w:ascii="Times New Roman"/>
          <w:b w:val="false"/>
          <w:i w:val="false"/>
          <w:color w:val="000000"/>
          <w:sz w:val="28"/>
        </w:rPr>
        <w:t>
      Для расчета доверительного интервала следует вычислить следующие промежуточные величины:</w:t>
      </w:r>
    </w:p>
    <w:bookmarkEnd w:id="287"/>
    <w:bookmarkStart w:name="z301"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89"/>
    <w:p>
      <w:pPr>
        <w:spacing w:after="0"/>
        <w:ind w:left="0"/>
        <w:jc w:val="both"/>
      </w:pPr>
      <w:r>
        <w:rPr>
          <w:rFonts w:ascii="Times New Roman"/>
          <w:b w:val="false"/>
          <w:i w:val="false"/>
          <w:color w:val="000000"/>
          <w:sz w:val="28"/>
        </w:rPr>
        <w:t>
      где:</w:t>
      </w:r>
    </w:p>
    <w:bookmarkEnd w:id="289"/>
    <w:bookmarkStart w:name="z303" w:id="290"/>
    <w:p>
      <w:pPr>
        <w:spacing w:after="0"/>
        <w:ind w:left="0"/>
        <w:jc w:val="both"/>
      </w:pPr>
      <w:r>
        <w:rPr>
          <w:rFonts w:ascii="Times New Roman"/>
          <w:b w:val="false"/>
          <w:i w:val="false"/>
          <w:color w:val="000000"/>
          <w:sz w:val="28"/>
        </w:rPr>
        <w:t>
      n – число пригодных к оценке субъектов (7 в данном примере).</w:t>
      </w:r>
    </w:p>
    <w:bookmarkEnd w:id="290"/>
    <w:bookmarkStart w:name="z304" w:id="291"/>
    <w:p>
      <w:pPr>
        <w:spacing w:after="0"/>
        <w:ind w:left="0"/>
        <w:jc w:val="both"/>
      </w:pPr>
      <w:r>
        <w:rPr>
          <w:rFonts w:ascii="Times New Roman"/>
          <w:b w:val="false"/>
          <w:i w:val="false"/>
          <w:color w:val="000000"/>
          <w:sz w:val="28"/>
        </w:rPr>
        <w:t>
      Далее по приведенным ниже формулам необходимо рассчитать выборочное среднее, выборочную дисперсию и выборочную ковариацию для средних значений AUEC отдельных субъектов, пригодных к оценке.</w:t>
      </w:r>
    </w:p>
    <w:bookmarkEnd w:id="291"/>
    <w:bookmarkStart w:name="z305"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4521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212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93"/>
    <w:p>
      <w:pPr>
        <w:spacing w:after="0"/>
        <w:ind w:left="0"/>
        <w:jc w:val="both"/>
      </w:pPr>
      <w:r>
        <w:rPr>
          <w:rFonts w:ascii="Times New Roman"/>
          <w:b w:val="false"/>
          <w:i w:val="false"/>
          <w:color w:val="000000"/>
          <w:sz w:val="28"/>
        </w:rPr>
        <w:t>
      В данном примере эти значения составили:</w:t>
      </w:r>
    </w:p>
    <w:bookmarkEnd w:id="293"/>
    <w:bookmarkStart w:name="z307"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694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4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95"/>
    <w:p>
      <w:pPr>
        <w:spacing w:after="0"/>
        <w:ind w:left="0"/>
        <w:jc w:val="both"/>
      </w:pPr>
      <w:r>
        <w:rPr>
          <w:rFonts w:ascii="Times New Roman"/>
          <w:b w:val="false"/>
          <w:i w:val="false"/>
          <w:color w:val="000000"/>
          <w:sz w:val="28"/>
        </w:rPr>
        <w:t>
      t определяют как значение 95-ого процентиля t-распределения</w:t>
      </w:r>
      <w:r>
        <w:br/>
      </w:r>
      <w:r>
        <w:rPr>
          <w:rFonts w:ascii="Times New Roman"/>
          <w:b w:val="false"/>
          <w:i w:val="false"/>
          <w:color w:val="000000"/>
          <w:sz w:val="28"/>
        </w:rPr>
        <w:t>с n - 1 степенями свободы. Например, при n = 7 значение t</w:t>
      </w:r>
      <w:r>
        <w:br/>
      </w:r>
      <w:r>
        <w:rPr>
          <w:rFonts w:ascii="Times New Roman"/>
          <w:b w:val="false"/>
          <w:i w:val="false"/>
          <w:color w:val="000000"/>
          <w:sz w:val="28"/>
        </w:rPr>
        <w:t>(для 6 степеней свободы) составляет 1,9432.</w:t>
      </w:r>
    </w:p>
    <w:bookmarkEnd w:id="295"/>
    <w:bookmarkStart w:name="z309" w:id="296"/>
    <w:p>
      <w:pPr>
        <w:spacing w:after="0"/>
        <w:ind w:left="0"/>
        <w:jc w:val="both"/>
      </w:pPr>
      <w:r>
        <w:rPr>
          <w:rFonts w:ascii="Times New Roman"/>
          <w:b w:val="false"/>
          <w:i w:val="false"/>
          <w:color w:val="000000"/>
          <w:sz w:val="28"/>
        </w:rPr>
        <w:t>
      Далее определяют</w:t>
      </w:r>
    </w:p>
    <w:bookmarkEnd w:id="296"/>
    <w:bookmarkStart w:name="z310"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82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98"/>
    <w:p>
      <w:pPr>
        <w:spacing w:after="0"/>
        <w:ind w:left="0"/>
        <w:jc w:val="both"/>
      </w:pPr>
      <w:r>
        <w:rPr>
          <w:rFonts w:ascii="Times New Roman"/>
          <w:b w:val="false"/>
          <w:i w:val="false"/>
          <w:color w:val="000000"/>
          <w:sz w:val="28"/>
        </w:rPr>
        <w:t xml:space="preserve">
      Для построения корректного доверительного интервала требуется выполнение условия: G &lt; 1. </w:t>
      </w:r>
    </w:p>
    <w:bookmarkEnd w:id="298"/>
    <w:bookmarkStart w:name="z312" w:id="299"/>
    <w:p>
      <w:pPr>
        <w:spacing w:after="0"/>
        <w:ind w:left="0"/>
        <w:jc w:val="both"/>
      </w:pPr>
      <w:r>
        <w:rPr>
          <w:rFonts w:ascii="Times New Roman"/>
          <w:b w:val="false"/>
          <w:i w:val="false"/>
          <w:color w:val="000000"/>
          <w:sz w:val="28"/>
        </w:rPr>
        <w:t xml:space="preserve">
      Если G  1, исследование не соответствует требованиям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В данном примере G составляет 0,0930.</w:t>
      </w:r>
    </w:p>
    <w:bookmarkEnd w:id="299"/>
    <w:bookmarkStart w:name="z313" w:id="300"/>
    <w:p>
      <w:pPr>
        <w:spacing w:after="0"/>
        <w:ind w:left="0"/>
        <w:jc w:val="both"/>
      </w:pPr>
      <w:r>
        <w:rPr>
          <w:rFonts w:ascii="Times New Roman"/>
          <w:b w:val="false"/>
          <w:i w:val="false"/>
          <w:color w:val="000000"/>
          <w:sz w:val="28"/>
        </w:rPr>
        <w:t>
      Если G &lt; 1, рассчитывают:</w:t>
      </w:r>
    </w:p>
    <w:bookmarkEnd w:id="300"/>
    <w:bookmarkStart w:name="z314"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499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91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302"/>
    <w:p>
      <w:pPr>
        <w:spacing w:after="0"/>
        <w:ind w:left="0"/>
        <w:jc w:val="both"/>
      </w:pPr>
      <w:r>
        <w:rPr>
          <w:rFonts w:ascii="Times New Roman"/>
          <w:b w:val="false"/>
          <w:i w:val="false"/>
          <w:color w:val="000000"/>
          <w:sz w:val="28"/>
        </w:rPr>
        <w:t>
      В данном примере К составляет 2,791.</w:t>
      </w:r>
    </w:p>
    <w:bookmarkEnd w:id="302"/>
    <w:bookmarkStart w:name="z316" w:id="303"/>
    <w:p>
      <w:pPr>
        <w:spacing w:after="0"/>
        <w:ind w:left="0"/>
        <w:jc w:val="both"/>
      </w:pPr>
      <w:r>
        <w:rPr>
          <w:rFonts w:ascii="Times New Roman"/>
          <w:b w:val="false"/>
          <w:i w:val="false"/>
          <w:color w:val="000000"/>
          <w:sz w:val="28"/>
        </w:rPr>
        <w:t>
      После этого становится возможным рассчитать границы доверительного интервала:</w:t>
      </w:r>
    </w:p>
    <w:bookmarkEnd w:id="303"/>
    <w:bookmarkStart w:name="z317"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3111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11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данном примере границы 90 % доверительного интервала составляют 53,60 % и 165,90 % на основе данных семи пригодных к оценке субъектов.".</w:t>
      </w:r>
    </w:p>
    <w:bookmarkStart w:name="z319" w:id="305"/>
    <w:p>
      <w:pPr>
        <w:spacing w:after="0"/>
        <w:ind w:left="0"/>
        <w:jc w:val="both"/>
      </w:pPr>
      <w:r>
        <w:rPr>
          <w:rFonts w:ascii="Times New Roman"/>
          <w:b w:val="false"/>
          <w:i w:val="false"/>
          <w:color w:val="000000"/>
          <w:sz w:val="28"/>
        </w:rPr>
        <w:t>
      4. Дополнить приложением № 10 следующего содержания:</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p>
        </w:tc>
      </w:tr>
    </w:tbl>
    <w:bookmarkStart w:name="z321" w:id="306"/>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фармакокинетического и клинического</w:t>
      </w:r>
      <w:r>
        <w:br/>
      </w:r>
      <w:r>
        <w:rPr>
          <w:rFonts w:ascii="Times New Roman"/>
          <w:b/>
          <w:i w:val="false"/>
          <w:color w:val="000000"/>
        </w:rPr>
        <w:t>изучения биоэквивалентности лекарственных препаратов</w:t>
      </w:r>
      <w:r>
        <w:br/>
      </w:r>
      <w:r>
        <w:rPr>
          <w:rFonts w:ascii="Times New Roman"/>
          <w:b/>
          <w:i w:val="false"/>
          <w:color w:val="000000"/>
        </w:rPr>
        <w:t>с модифицированным высвобождением</w:t>
      </w:r>
    </w:p>
    <w:bookmarkEnd w:id="306"/>
    <w:bookmarkStart w:name="z322" w:id="307"/>
    <w:p>
      <w:pPr>
        <w:spacing w:after="0"/>
        <w:ind w:left="0"/>
        <w:jc w:val="left"/>
      </w:pPr>
      <w:r>
        <w:rPr>
          <w:rFonts w:ascii="Times New Roman"/>
          <w:b/>
          <w:i w:val="false"/>
          <w:color w:val="000000"/>
        </w:rPr>
        <w:t xml:space="preserve"> I. Общие положения</w:t>
      </w:r>
    </w:p>
    <w:bookmarkEnd w:id="307"/>
    <w:bookmarkStart w:name="z323" w:id="308"/>
    <w:p>
      <w:pPr>
        <w:spacing w:after="0"/>
        <w:ind w:left="0"/>
        <w:jc w:val="both"/>
      </w:pPr>
      <w:r>
        <w:rPr>
          <w:rFonts w:ascii="Times New Roman"/>
          <w:b w:val="false"/>
          <w:i w:val="false"/>
          <w:color w:val="000000"/>
          <w:sz w:val="28"/>
        </w:rPr>
        <w:t>
      1. Настоящие Требования содержат указания по проведению исследований, необходимых для определения эффективности, безопасности, биофармацевтических и фармакокинетических свойств лекарственных препаратов в лекарственной форме с модифицированным высвобождением для приема внутрь, внутримышечного и подкожного введения и трансдермальных лекарственных форм в отношении человека, а также по установлению общих принципов планирования, проведения и оценки результатов таких исследований.</w:t>
      </w:r>
    </w:p>
    <w:bookmarkEnd w:id="308"/>
    <w:bookmarkStart w:name="z324" w:id="309"/>
    <w:p>
      <w:pPr>
        <w:spacing w:after="0"/>
        <w:ind w:left="0"/>
        <w:jc w:val="both"/>
      </w:pPr>
      <w:r>
        <w:rPr>
          <w:rFonts w:ascii="Times New Roman"/>
          <w:b w:val="false"/>
          <w:i w:val="false"/>
          <w:color w:val="000000"/>
          <w:sz w:val="28"/>
        </w:rPr>
        <w:t>
      2. Настоящие Требования содержат также указания по проведению исследований биоэквивалентности воспроизведенных лекарственных препаратов с пролонгированным и отсроченным высвобождением.</w:t>
      </w:r>
    </w:p>
    <w:bookmarkEnd w:id="309"/>
    <w:bookmarkStart w:name="z325" w:id="310"/>
    <w:p>
      <w:pPr>
        <w:spacing w:after="0"/>
        <w:ind w:left="0"/>
        <w:jc w:val="both"/>
      </w:pPr>
      <w:r>
        <w:rPr>
          <w:rFonts w:ascii="Times New Roman"/>
          <w:b w:val="false"/>
          <w:i w:val="false"/>
          <w:color w:val="000000"/>
          <w:sz w:val="28"/>
        </w:rPr>
        <w:t>
      3. Каждое из обстоятельств, при которых может быть разработан лекарственный препарат в лекарственной форме с модифицированным высвобождением (далее – лекарственный препарат с модифицированным высвобождением), требует отдельных рекомендаций и стандартов. Эти обстоятельства делятся на 3 группы:</w:t>
      </w:r>
    </w:p>
    <w:bookmarkEnd w:id="310"/>
    <w:bookmarkStart w:name="z326" w:id="311"/>
    <w:p>
      <w:pPr>
        <w:spacing w:after="0"/>
        <w:ind w:left="0"/>
        <w:jc w:val="both"/>
      </w:pPr>
      <w:r>
        <w:rPr>
          <w:rFonts w:ascii="Times New Roman"/>
          <w:b w:val="false"/>
          <w:i w:val="false"/>
          <w:color w:val="000000"/>
          <w:sz w:val="28"/>
        </w:rPr>
        <w:t>
      а) регистрация лекарственного препарата с модифицированным высвобождением новых химических соединений;</w:t>
      </w:r>
    </w:p>
    <w:bookmarkEnd w:id="311"/>
    <w:bookmarkStart w:name="z327" w:id="312"/>
    <w:p>
      <w:pPr>
        <w:spacing w:after="0"/>
        <w:ind w:left="0"/>
        <w:jc w:val="both"/>
      </w:pPr>
      <w:r>
        <w:rPr>
          <w:rFonts w:ascii="Times New Roman"/>
          <w:b w:val="false"/>
          <w:i w:val="false"/>
          <w:color w:val="000000"/>
          <w:sz w:val="28"/>
        </w:rPr>
        <w:t>
      б) регистрация лекарственного препарата с модифицированным высвобождением, действующее вещество которого зарегистрировано в составе препарата с другой скоростью высвобождения (например, препарата с обычным высвобождением);</w:t>
      </w:r>
    </w:p>
    <w:bookmarkEnd w:id="312"/>
    <w:bookmarkStart w:name="z328" w:id="313"/>
    <w:p>
      <w:pPr>
        <w:spacing w:after="0"/>
        <w:ind w:left="0"/>
        <w:jc w:val="both"/>
      </w:pPr>
      <w:r>
        <w:rPr>
          <w:rFonts w:ascii="Times New Roman"/>
          <w:b w:val="false"/>
          <w:i w:val="false"/>
          <w:color w:val="000000"/>
          <w:sz w:val="28"/>
        </w:rPr>
        <w:t>
      в) упрощенная регистрация лекарственного препарата с модифицированным высвобождением, ссылающаяся на лекарственный препарат с модифицированным высвобождением, находящийся на рынке (например, регистрация в качестве воспроизведенного или гибридного лекарственного препарата).</w:t>
      </w:r>
    </w:p>
    <w:bookmarkEnd w:id="313"/>
    <w:bookmarkStart w:name="z329" w:id="314"/>
    <w:p>
      <w:pPr>
        <w:spacing w:after="0"/>
        <w:ind w:left="0"/>
        <w:jc w:val="both"/>
      </w:pPr>
      <w:r>
        <w:rPr>
          <w:rFonts w:ascii="Times New Roman"/>
          <w:b w:val="false"/>
          <w:i w:val="false"/>
          <w:color w:val="000000"/>
          <w:sz w:val="28"/>
        </w:rPr>
        <w:t>
      4. В каждом конкретном случае должны быть определены виды и количество выполняемых исследований с учетом свойств и области применения лекарственной формы, а также предполагаемого терапевтического применения лекарственного препарата.</w:t>
      </w:r>
    </w:p>
    <w:bookmarkEnd w:id="314"/>
    <w:bookmarkStart w:name="z330" w:id="315"/>
    <w:p>
      <w:pPr>
        <w:spacing w:after="0"/>
        <w:ind w:left="0"/>
        <w:jc w:val="left"/>
      </w:pPr>
      <w:r>
        <w:rPr>
          <w:rFonts w:ascii="Times New Roman"/>
          <w:b/>
          <w:i w:val="false"/>
          <w:color w:val="000000"/>
        </w:rPr>
        <w:t xml:space="preserve"> II. Определения</w:t>
      </w:r>
    </w:p>
    <w:bookmarkEnd w:id="315"/>
    <w:bookmarkStart w:name="z331" w:id="316"/>
    <w:p>
      <w:pPr>
        <w:spacing w:after="0"/>
        <w:ind w:left="0"/>
        <w:jc w:val="both"/>
      </w:pPr>
      <w:r>
        <w:rPr>
          <w:rFonts w:ascii="Times New Roman"/>
          <w:b w:val="false"/>
          <w:i w:val="false"/>
          <w:color w:val="000000"/>
          <w:sz w:val="28"/>
        </w:rPr>
        <w:t>
      5. Для целей настоящих Требований используются понятия, которые означают следующее:</w:t>
      </w:r>
    </w:p>
    <w:bookmarkEnd w:id="316"/>
    <w:bookmarkStart w:name="z332" w:id="317"/>
    <w:p>
      <w:pPr>
        <w:spacing w:after="0"/>
        <w:ind w:left="0"/>
        <w:jc w:val="both"/>
      </w:pPr>
      <w:r>
        <w:rPr>
          <w:rFonts w:ascii="Times New Roman"/>
          <w:b w:val="false"/>
          <w:i w:val="false"/>
          <w:color w:val="000000"/>
          <w:sz w:val="28"/>
        </w:rPr>
        <w:t>
      "внутримышечный (подкожный) депо-препарат" (depot formulation) – препарат для внутримышечного или подкожного введения, высвобождающий действующее вещество непрерывно в течение определенного отрезка времени. К подкожным препаратам относят имплантаты;</w:t>
      </w:r>
    </w:p>
    <w:bookmarkEnd w:id="317"/>
    <w:bookmarkStart w:name="z333" w:id="318"/>
    <w:p>
      <w:pPr>
        <w:spacing w:after="0"/>
        <w:ind w:left="0"/>
        <w:jc w:val="both"/>
      </w:pPr>
      <w:r>
        <w:rPr>
          <w:rFonts w:ascii="Times New Roman"/>
          <w:b w:val="false"/>
          <w:i w:val="false"/>
          <w:color w:val="000000"/>
          <w:sz w:val="28"/>
        </w:rPr>
        <w:t>
      "лекарственная форма с двухфазным высвобождением" (biphase release formulation) – лекарственная форма, которая в первую фазу быстро высвобождает часть дозы, обеспечивающей терапевтическую концентрацию действующего вещества в течение короткого отрезка времени после применения. В течение второй, продленной, фазы происходит высвобождение остальной части дозы, необходимой для поддержания эффективной терапевтической концентрации действующего вещества в течение продолжительного периода;</w:t>
      </w:r>
    </w:p>
    <w:bookmarkEnd w:id="318"/>
    <w:bookmarkStart w:name="z334" w:id="319"/>
    <w:p>
      <w:pPr>
        <w:spacing w:after="0"/>
        <w:ind w:left="0"/>
        <w:jc w:val="both"/>
      </w:pPr>
      <w:r>
        <w:rPr>
          <w:rFonts w:ascii="Times New Roman"/>
          <w:b w:val="false"/>
          <w:i w:val="false"/>
          <w:color w:val="000000"/>
          <w:sz w:val="28"/>
        </w:rPr>
        <w:t>
      "лекарственная форма с обычным высвобождением" (immediate release dosage form, immediate release formulation) – лекарственная форма, скорость, и (или) время, и (или) место высвобождения действующего вещества которой не модифицируются введением специальных вспомогательных веществ и (или) применением особой технологии производства;</w:t>
      </w:r>
    </w:p>
    <w:bookmarkEnd w:id="319"/>
    <w:bookmarkStart w:name="z335" w:id="320"/>
    <w:p>
      <w:pPr>
        <w:spacing w:after="0"/>
        <w:ind w:left="0"/>
        <w:jc w:val="both"/>
      </w:pPr>
      <w:r>
        <w:rPr>
          <w:rFonts w:ascii="Times New Roman"/>
          <w:b w:val="false"/>
          <w:i w:val="false"/>
          <w:color w:val="000000"/>
          <w:sz w:val="28"/>
        </w:rPr>
        <w:t>
      "лекарственная форма с отсроченным высвобождением" (delayed release dosage form, delayed release formulation) – лекарственная форма, высвобождение действующего вещества которой является отложенным на определенный отрезок времени после применения дозы. Последующее высвобождение аналогично высвобождению из лекарственной формы с обычным высвобождением;</w:t>
      </w:r>
    </w:p>
    <w:bookmarkEnd w:id="320"/>
    <w:bookmarkStart w:name="z336" w:id="321"/>
    <w:p>
      <w:pPr>
        <w:spacing w:after="0"/>
        <w:ind w:left="0"/>
        <w:jc w:val="both"/>
      </w:pPr>
      <w:r>
        <w:rPr>
          <w:rFonts w:ascii="Times New Roman"/>
          <w:b w:val="false"/>
          <w:i w:val="false"/>
          <w:color w:val="000000"/>
          <w:sz w:val="28"/>
        </w:rPr>
        <w:t>
      "лекарственная форма с пульсирующим (прерывистым) высвобождением" (pulsatile release dosage form) – лекарственная форма с порционным высвобождением действующего вещества через определенные интервалы времени;</w:t>
      </w:r>
    </w:p>
    <w:bookmarkEnd w:id="321"/>
    <w:bookmarkStart w:name="z337" w:id="322"/>
    <w:p>
      <w:pPr>
        <w:spacing w:after="0"/>
        <w:ind w:left="0"/>
        <w:jc w:val="both"/>
      </w:pPr>
      <w:r>
        <w:rPr>
          <w:rFonts w:ascii="Times New Roman"/>
          <w:b w:val="false"/>
          <w:i w:val="false"/>
          <w:color w:val="000000"/>
          <w:sz w:val="28"/>
        </w:rPr>
        <w:t xml:space="preserve">
      "многоединичная лекарственная форма" (multiple-unit dosage </w:t>
      </w:r>
      <w:r>
        <w:br/>
      </w:r>
      <w:r>
        <w:rPr>
          <w:rFonts w:ascii="Times New Roman"/>
          <w:b w:val="false"/>
          <w:i w:val="false"/>
          <w:color w:val="000000"/>
          <w:sz w:val="28"/>
        </w:rPr>
        <w:t>form) – лекарственная форма, содержащая множество отдельных (например, в желатиновой капсуле) или спрессованных в таблетку единиц (например, пеллет или гранул), каждая из которых содержит вспомогательные вещества, контролирующие высвобождение действующего вещества";</w:t>
      </w:r>
    </w:p>
    <w:bookmarkEnd w:id="322"/>
    <w:bookmarkStart w:name="z338" w:id="323"/>
    <w:p>
      <w:pPr>
        <w:spacing w:after="0"/>
        <w:ind w:left="0"/>
        <w:jc w:val="both"/>
      </w:pPr>
      <w:r>
        <w:rPr>
          <w:rFonts w:ascii="Times New Roman"/>
          <w:b w:val="false"/>
          <w:i w:val="false"/>
          <w:color w:val="000000"/>
          <w:sz w:val="28"/>
        </w:rPr>
        <w:t>
      "одноединичная лекарственная форма" (single-unit dosage form) –лекарственная форма, состоящая только из одной единицы (например, в форме осмотической таблетки);</w:t>
      </w:r>
    </w:p>
    <w:bookmarkEnd w:id="323"/>
    <w:bookmarkStart w:name="z339" w:id="324"/>
    <w:p>
      <w:pPr>
        <w:spacing w:after="0"/>
        <w:ind w:left="0"/>
        <w:jc w:val="both"/>
      </w:pPr>
      <w:r>
        <w:rPr>
          <w:rFonts w:ascii="Times New Roman"/>
          <w:b w:val="false"/>
          <w:i w:val="false"/>
          <w:color w:val="000000"/>
          <w:sz w:val="28"/>
        </w:rPr>
        <w:t>
      "пластырь трансдермальный" (transdermal patch, transdermal drug delivery system) – мягкая форма лекарственного препарата различного размера, содержащая одно действующее вещество или более, наносимая на неповрежденную кожу для достижения системной доступности. Существует 2 основных типа пластырей трансдермальных в зависимости от способа распределения действующего вещества в компонентах пластыря:</w:t>
      </w:r>
    </w:p>
    <w:bookmarkEnd w:id="324"/>
    <w:bookmarkStart w:name="z340" w:id="325"/>
    <w:p>
      <w:pPr>
        <w:spacing w:after="0"/>
        <w:ind w:left="0"/>
        <w:jc w:val="both"/>
      </w:pPr>
      <w:r>
        <w:rPr>
          <w:rFonts w:ascii="Times New Roman"/>
          <w:b w:val="false"/>
          <w:i w:val="false"/>
          <w:color w:val="000000"/>
          <w:sz w:val="28"/>
        </w:rPr>
        <w:t>
      матричные (с высвобождением действующего вещества путем диффузии);</w:t>
      </w:r>
    </w:p>
    <w:bookmarkEnd w:id="325"/>
    <w:bookmarkStart w:name="z341" w:id="326"/>
    <w:p>
      <w:pPr>
        <w:spacing w:after="0"/>
        <w:ind w:left="0"/>
        <w:jc w:val="both"/>
      </w:pPr>
      <w:r>
        <w:rPr>
          <w:rFonts w:ascii="Times New Roman"/>
          <w:b w:val="false"/>
          <w:i w:val="false"/>
          <w:color w:val="000000"/>
          <w:sz w:val="28"/>
        </w:rPr>
        <w:t>
      резервуарные (с контролируемым мембраной высвобождением действующего вещества из жидкой камеры).</w:t>
      </w:r>
    </w:p>
    <w:bookmarkEnd w:id="326"/>
    <w:bookmarkStart w:name="z342" w:id="327"/>
    <w:p>
      <w:pPr>
        <w:spacing w:after="0"/>
        <w:ind w:left="0"/>
        <w:jc w:val="left"/>
      </w:pPr>
      <w:r>
        <w:rPr>
          <w:rFonts w:ascii="Times New Roman"/>
          <w:b/>
          <w:i w:val="false"/>
          <w:color w:val="000000"/>
        </w:rPr>
        <w:t xml:space="preserve"> III. Обоснование разработки</w:t>
      </w:r>
    </w:p>
    <w:bookmarkEnd w:id="327"/>
    <w:bookmarkStart w:name="z343" w:id="328"/>
    <w:p>
      <w:pPr>
        <w:spacing w:after="0"/>
        <w:ind w:left="0"/>
        <w:jc w:val="both"/>
      </w:pPr>
      <w:r>
        <w:rPr>
          <w:rFonts w:ascii="Times New Roman"/>
          <w:b w:val="false"/>
          <w:i w:val="false"/>
          <w:color w:val="000000"/>
          <w:sz w:val="28"/>
        </w:rPr>
        <w:t>
      6. Разработка лекарственного препарата с модифицированным высвобождением действующего вещества должна основываться на четко определенной клинической необходимости (например, повышение восприимчивости и (или) безопасность пациентов) и на единстве физиологических, фармакодинамических и фармакокинетических принципов.</w:t>
      </w:r>
    </w:p>
    <w:bookmarkEnd w:id="328"/>
    <w:bookmarkStart w:name="z344" w:id="329"/>
    <w:p>
      <w:pPr>
        <w:spacing w:after="0"/>
        <w:ind w:left="0"/>
        <w:jc w:val="both"/>
      </w:pPr>
      <w:r>
        <w:rPr>
          <w:rFonts w:ascii="Times New Roman"/>
          <w:b w:val="false"/>
          <w:i w:val="false"/>
          <w:color w:val="000000"/>
          <w:sz w:val="28"/>
        </w:rPr>
        <w:t xml:space="preserve">
      7. Регистрационное досье лекарственного препарата с модифицированным высвобождением должно содержать полное обоснование физической формы лекарственного препарата (с модифицированным высвобождением и механизма высвобождения), выбора лекарственной формы (с описанием функциональных характеристик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выбора содержания действующего вещества в единице лекарственной формы, а также клинического обоснования новой лекарственной формы </w:t>
      </w:r>
      <w:r>
        <w:br/>
      </w:r>
      <w:r>
        <w:rPr>
          <w:rFonts w:ascii="Times New Roman"/>
          <w:b w:val="false"/>
          <w:i w:val="false"/>
          <w:color w:val="000000"/>
          <w:sz w:val="28"/>
        </w:rPr>
        <w:t>(в особенности в связи с предлагаемыми показаниями к применению и режимом дозирования).</w:t>
      </w:r>
    </w:p>
    <w:bookmarkEnd w:id="329"/>
    <w:bookmarkStart w:name="z345" w:id="330"/>
    <w:p>
      <w:pPr>
        <w:spacing w:after="0"/>
        <w:ind w:left="0"/>
        <w:jc w:val="left"/>
      </w:pPr>
      <w:r>
        <w:rPr>
          <w:rFonts w:ascii="Times New Roman"/>
          <w:b/>
          <w:i w:val="false"/>
          <w:color w:val="000000"/>
        </w:rPr>
        <w:t xml:space="preserve"> 1. Клиническое обоснование</w:t>
      </w:r>
    </w:p>
    <w:bookmarkEnd w:id="330"/>
    <w:bookmarkStart w:name="z346" w:id="331"/>
    <w:p>
      <w:pPr>
        <w:spacing w:after="0"/>
        <w:ind w:left="0"/>
        <w:jc w:val="both"/>
      </w:pPr>
      <w:r>
        <w:rPr>
          <w:rFonts w:ascii="Times New Roman"/>
          <w:b w:val="false"/>
          <w:i w:val="false"/>
          <w:color w:val="000000"/>
          <w:sz w:val="28"/>
        </w:rPr>
        <w:t xml:space="preserve">
      8. Лекарственная форма с пролонгированным высвобождением приемлема, если действующее вещество способно обеспечивать желаемый клинический эффект при фармакокинетическом профиле, отличающемся от достигаемого профиля при применении лекарственной формы с обычным высвобождением. </w:t>
      </w:r>
    </w:p>
    <w:bookmarkEnd w:id="331"/>
    <w:bookmarkStart w:name="z347" w:id="332"/>
    <w:p>
      <w:pPr>
        <w:spacing w:after="0"/>
        <w:ind w:left="0"/>
        <w:jc w:val="both"/>
      </w:pPr>
      <w:r>
        <w:rPr>
          <w:rFonts w:ascii="Times New Roman"/>
          <w:b w:val="false"/>
          <w:i w:val="false"/>
          <w:color w:val="000000"/>
          <w:sz w:val="28"/>
        </w:rPr>
        <w:t>
      9. Лекарственная форма с пролонгированным высвобождением может иметь ряд преимуществ по сравнению с лекарственной формой с обычным высвобождением, например:</w:t>
      </w:r>
    </w:p>
    <w:bookmarkEnd w:id="332"/>
    <w:bookmarkStart w:name="z348" w:id="333"/>
    <w:p>
      <w:pPr>
        <w:spacing w:after="0"/>
        <w:ind w:left="0"/>
        <w:jc w:val="both"/>
      </w:pPr>
      <w:r>
        <w:rPr>
          <w:rFonts w:ascii="Times New Roman"/>
          <w:b w:val="false"/>
          <w:i w:val="false"/>
          <w:color w:val="000000"/>
          <w:sz w:val="28"/>
        </w:rPr>
        <w:t>
      а) уменьшенные флуктуации (колебания) плазменной концентрации препарата, способные обеспечить более продолжительные эффекты и (или) уменьшенную частоту возникновения случаев и (или) интенсивность нежелательных реакций;</w:t>
      </w:r>
    </w:p>
    <w:bookmarkEnd w:id="333"/>
    <w:bookmarkStart w:name="z349" w:id="334"/>
    <w:p>
      <w:pPr>
        <w:spacing w:after="0"/>
        <w:ind w:left="0"/>
        <w:jc w:val="both"/>
      </w:pPr>
      <w:r>
        <w:rPr>
          <w:rFonts w:ascii="Times New Roman"/>
          <w:b w:val="false"/>
          <w:i w:val="false"/>
          <w:color w:val="000000"/>
          <w:sz w:val="28"/>
        </w:rPr>
        <w:t>
      б) меньшая частота применения и потенциальное повышение восприимчивости пациентами;</w:t>
      </w:r>
    </w:p>
    <w:bookmarkEnd w:id="334"/>
    <w:bookmarkStart w:name="z350" w:id="335"/>
    <w:p>
      <w:pPr>
        <w:spacing w:after="0"/>
        <w:ind w:left="0"/>
        <w:jc w:val="both"/>
      </w:pPr>
      <w:r>
        <w:rPr>
          <w:rFonts w:ascii="Times New Roman"/>
          <w:b w:val="false"/>
          <w:i w:val="false"/>
          <w:color w:val="000000"/>
          <w:sz w:val="28"/>
        </w:rPr>
        <w:t>
      в) другой путь введения (внутримышечное, подкожное или с использованием пластырей трансдермальных) (за исключением приема внутрь).</w:t>
      </w:r>
    </w:p>
    <w:bookmarkEnd w:id="335"/>
    <w:bookmarkStart w:name="z351" w:id="336"/>
    <w:p>
      <w:pPr>
        <w:spacing w:after="0"/>
        <w:ind w:left="0"/>
        <w:jc w:val="both"/>
      </w:pPr>
      <w:r>
        <w:rPr>
          <w:rFonts w:ascii="Times New Roman"/>
          <w:b w:val="false"/>
          <w:i w:val="false"/>
          <w:color w:val="000000"/>
          <w:sz w:val="28"/>
        </w:rPr>
        <w:t>
      10. Разработка лекарственной формы с двухфазным высвобождением целесообразна при необходимости быстрого начала действия лекарственного препарата с последующим пролонгированным высвобождением.</w:t>
      </w:r>
    </w:p>
    <w:bookmarkEnd w:id="336"/>
    <w:bookmarkStart w:name="z352" w:id="337"/>
    <w:p>
      <w:pPr>
        <w:spacing w:after="0"/>
        <w:ind w:left="0"/>
        <w:jc w:val="both"/>
      </w:pPr>
      <w:r>
        <w:rPr>
          <w:rFonts w:ascii="Times New Roman"/>
          <w:b w:val="false"/>
          <w:i w:val="false"/>
          <w:color w:val="000000"/>
          <w:sz w:val="28"/>
        </w:rPr>
        <w:t>
      11. Разработка лекарственной формы с отсроченным высвобождением целесообразна в целях защиты действующего вещества от кислой среды желудка, защиты желудка от действующего вещества или если высвобождение действующего вещества предусмотрено в определенном сегменте кишечника.</w:t>
      </w:r>
    </w:p>
    <w:bookmarkEnd w:id="337"/>
    <w:bookmarkStart w:name="z353" w:id="338"/>
    <w:p>
      <w:pPr>
        <w:spacing w:after="0"/>
        <w:ind w:left="0"/>
        <w:jc w:val="both"/>
      </w:pPr>
      <w:r>
        <w:rPr>
          <w:rFonts w:ascii="Times New Roman"/>
          <w:b w:val="false"/>
          <w:i w:val="false"/>
          <w:color w:val="000000"/>
          <w:sz w:val="28"/>
        </w:rPr>
        <w:t>
      12. Разработка лекарственной формы с пульсирующим (прерывистым) высвобождением целесообразна, если лечение требует коррекции с учетом суточного (циркадного) ритма имеющегося состояния или при необходимости введения с низкой частотой, а для достижения эффективности необходим колеблющийся профиль плазменной концентрации, свойственный лекарственной форме с обычным высвобождением.</w:t>
      </w:r>
    </w:p>
    <w:bookmarkEnd w:id="338"/>
    <w:bookmarkStart w:name="z354" w:id="339"/>
    <w:p>
      <w:pPr>
        <w:spacing w:after="0"/>
        <w:ind w:left="0"/>
        <w:jc w:val="left"/>
      </w:pPr>
      <w:r>
        <w:rPr>
          <w:rFonts w:ascii="Times New Roman"/>
          <w:b/>
          <w:i w:val="false"/>
          <w:color w:val="000000"/>
        </w:rPr>
        <w:t xml:space="preserve"> 2. Применение и режим дозирования</w:t>
      </w:r>
    </w:p>
    <w:bookmarkEnd w:id="339"/>
    <w:bookmarkStart w:name="z355" w:id="340"/>
    <w:p>
      <w:pPr>
        <w:spacing w:after="0"/>
        <w:ind w:left="0"/>
        <w:jc w:val="both"/>
      </w:pPr>
      <w:r>
        <w:rPr>
          <w:rFonts w:ascii="Times New Roman"/>
          <w:b w:val="false"/>
          <w:i w:val="false"/>
          <w:color w:val="000000"/>
          <w:sz w:val="28"/>
        </w:rPr>
        <w:t>
      13. В регистрационном досье лекарственного препарата необходимо четко указать условия введения лекарственной формы с модифицированным высвобождением и, если приемлемо, ее применение вместе с лекарственной формой с обычным высвобождением в следующих ситуациях:</w:t>
      </w:r>
    </w:p>
    <w:bookmarkEnd w:id="340"/>
    <w:bookmarkStart w:name="z356" w:id="341"/>
    <w:p>
      <w:pPr>
        <w:spacing w:after="0"/>
        <w:ind w:left="0"/>
        <w:jc w:val="both"/>
      </w:pPr>
      <w:r>
        <w:rPr>
          <w:rFonts w:ascii="Times New Roman"/>
          <w:b w:val="false"/>
          <w:i w:val="false"/>
          <w:color w:val="000000"/>
          <w:sz w:val="28"/>
        </w:rPr>
        <w:t>
      в начале лечения;</w:t>
      </w:r>
    </w:p>
    <w:bookmarkEnd w:id="341"/>
    <w:bookmarkStart w:name="z357" w:id="342"/>
    <w:p>
      <w:pPr>
        <w:spacing w:after="0"/>
        <w:ind w:left="0"/>
        <w:jc w:val="both"/>
      </w:pPr>
      <w:r>
        <w:rPr>
          <w:rFonts w:ascii="Times New Roman"/>
          <w:b w:val="false"/>
          <w:i w:val="false"/>
          <w:color w:val="000000"/>
          <w:sz w:val="28"/>
        </w:rPr>
        <w:t>
      при необходимости подбора дозы;</w:t>
      </w:r>
    </w:p>
    <w:bookmarkEnd w:id="342"/>
    <w:bookmarkStart w:name="z358" w:id="343"/>
    <w:p>
      <w:pPr>
        <w:spacing w:after="0"/>
        <w:ind w:left="0"/>
        <w:jc w:val="both"/>
      </w:pPr>
      <w:r>
        <w:rPr>
          <w:rFonts w:ascii="Times New Roman"/>
          <w:b w:val="false"/>
          <w:i w:val="false"/>
          <w:color w:val="000000"/>
          <w:sz w:val="28"/>
        </w:rPr>
        <w:t>
      для поддержания терапевтического эффекта;</w:t>
      </w:r>
    </w:p>
    <w:bookmarkEnd w:id="343"/>
    <w:bookmarkStart w:name="z359" w:id="344"/>
    <w:p>
      <w:pPr>
        <w:spacing w:after="0"/>
        <w:ind w:left="0"/>
        <w:jc w:val="both"/>
      </w:pPr>
      <w:r>
        <w:rPr>
          <w:rFonts w:ascii="Times New Roman"/>
          <w:b w:val="false"/>
          <w:i w:val="false"/>
          <w:color w:val="000000"/>
          <w:sz w:val="28"/>
        </w:rPr>
        <w:t>
      при лечении острых заболеваний;</w:t>
      </w:r>
    </w:p>
    <w:bookmarkEnd w:id="344"/>
    <w:bookmarkStart w:name="z360" w:id="345"/>
    <w:p>
      <w:pPr>
        <w:spacing w:after="0"/>
        <w:ind w:left="0"/>
        <w:jc w:val="both"/>
      </w:pPr>
      <w:r>
        <w:rPr>
          <w:rFonts w:ascii="Times New Roman"/>
          <w:b w:val="false"/>
          <w:i w:val="false"/>
          <w:color w:val="000000"/>
          <w:sz w:val="28"/>
        </w:rPr>
        <w:t>
      для особых групп населения (пожилые люди, дети и пациенты с почечной или печеночной недостаточностью).</w:t>
      </w:r>
    </w:p>
    <w:bookmarkEnd w:id="345"/>
    <w:bookmarkStart w:name="z361" w:id="346"/>
    <w:p>
      <w:pPr>
        <w:spacing w:after="0"/>
        <w:ind w:left="0"/>
        <w:jc w:val="both"/>
      </w:pPr>
      <w:r>
        <w:rPr>
          <w:rFonts w:ascii="Times New Roman"/>
          <w:b w:val="false"/>
          <w:i w:val="false"/>
          <w:color w:val="000000"/>
          <w:sz w:val="28"/>
        </w:rPr>
        <w:t>
      В регистрационном досье лекарственного препарата с модифицированным высвобождением необходимо обосновать отсутствие дозировок лекарственных форм с модифицированным высвобождением, охватывающих все необходимые уровни доз (например, низкие дозы для специальных групп населения).</w:t>
      </w:r>
    </w:p>
    <w:bookmarkEnd w:id="346"/>
    <w:bookmarkStart w:name="z362" w:id="347"/>
    <w:p>
      <w:pPr>
        <w:spacing w:after="0"/>
        <w:ind w:left="0"/>
        <w:jc w:val="both"/>
      </w:pPr>
      <w:r>
        <w:rPr>
          <w:rFonts w:ascii="Times New Roman"/>
          <w:b w:val="false"/>
          <w:i w:val="false"/>
          <w:color w:val="000000"/>
          <w:sz w:val="28"/>
        </w:rPr>
        <w:t>
      При наличии в обороте одновременно модифицированных и немодифицированных лекарственных форм необходимо в информации о лекарственном препарате дать рекомендации:</w:t>
      </w:r>
    </w:p>
    <w:bookmarkEnd w:id="347"/>
    <w:bookmarkStart w:name="z363" w:id="348"/>
    <w:p>
      <w:pPr>
        <w:spacing w:after="0"/>
        <w:ind w:left="0"/>
        <w:jc w:val="both"/>
      </w:pPr>
      <w:r>
        <w:rPr>
          <w:rFonts w:ascii="Times New Roman"/>
          <w:b w:val="false"/>
          <w:i w:val="false"/>
          <w:color w:val="000000"/>
          <w:sz w:val="28"/>
        </w:rPr>
        <w:t>
      по замене лекарственных форм с обычным высвобождением на лекарственные формы с модифицированным высвобождением;</w:t>
      </w:r>
    </w:p>
    <w:bookmarkEnd w:id="348"/>
    <w:bookmarkStart w:name="z364" w:id="349"/>
    <w:p>
      <w:pPr>
        <w:spacing w:after="0"/>
        <w:ind w:left="0"/>
        <w:jc w:val="both"/>
      </w:pPr>
      <w:r>
        <w:rPr>
          <w:rFonts w:ascii="Times New Roman"/>
          <w:b w:val="false"/>
          <w:i w:val="false"/>
          <w:color w:val="000000"/>
          <w:sz w:val="28"/>
        </w:rPr>
        <w:t>
      по обеспечению оптимальных условий применения (например, указания не жевать или не разрушать таблетки), если это влияет на биофармацевтические свойства лекарственного препарата.</w:t>
      </w:r>
    </w:p>
    <w:bookmarkEnd w:id="349"/>
    <w:bookmarkStart w:name="z365" w:id="350"/>
    <w:p>
      <w:pPr>
        <w:spacing w:after="0"/>
        <w:ind w:left="0"/>
        <w:jc w:val="left"/>
      </w:pPr>
      <w:r>
        <w:rPr>
          <w:rFonts w:ascii="Times New Roman"/>
          <w:b/>
          <w:i w:val="false"/>
          <w:color w:val="000000"/>
        </w:rPr>
        <w:t xml:space="preserve"> IV. Исследования лекарственных форм с модифицированным высвобождением, содержащих новые химические соединения в качестве действующих веществ</w:t>
      </w:r>
    </w:p>
    <w:bookmarkEnd w:id="350"/>
    <w:bookmarkStart w:name="z366" w:id="351"/>
    <w:p>
      <w:pPr>
        <w:spacing w:after="0"/>
        <w:ind w:left="0"/>
        <w:jc w:val="both"/>
      </w:pPr>
      <w:r>
        <w:rPr>
          <w:rFonts w:ascii="Times New Roman"/>
          <w:b w:val="false"/>
          <w:i w:val="false"/>
          <w:color w:val="000000"/>
          <w:sz w:val="28"/>
        </w:rPr>
        <w:t>
      14. Если новое химическое соединение входит в качестве действующего вещества в состав разрабатываемого лекарственного препарата с модифицированным высвобождением, регистрационное досье такого препарата должно содержать соответствующие фармацевтические и химические данные, необходимые доклинические исследования и полный комплект данных клинических исследований.</w:t>
      </w:r>
    </w:p>
    <w:bookmarkEnd w:id="351"/>
    <w:bookmarkStart w:name="z367" w:id="352"/>
    <w:p>
      <w:pPr>
        <w:spacing w:after="0"/>
        <w:ind w:left="0"/>
        <w:jc w:val="both"/>
      </w:pPr>
      <w:r>
        <w:rPr>
          <w:rFonts w:ascii="Times New Roman"/>
          <w:b w:val="false"/>
          <w:i w:val="false"/>
          <w:color w:val="000000"/>
          <w:sz w:val="28"/>
        </w:rPr>
        <w:t xml:space="preserve">
      1. Фармакокинетические исследования лекарственных препаратов с модифицированным высвобождением для приема внутрь, содержащих новое химическое соединение </w:t>
      </w:r>
    </w:p>
    <w:bookmarkEnd w:id="352"/>
    <w:bookmarkStart w:name="z368" w:id="353"/>
    <w:p>
      <w:pPr>
        <w:spacing w:after="0"/>
        <w:ind w:left="0"/>
        <w:jc w:val="both"/>
      </w:pPr>
      <w:r>
        <w:rPr>
          <w:rFonts w:ascii="Times New Roman"/>
          <w:b w:val="false"/>
          <w:i w:val="false"/>
          <w:color w:val="000000"/>
          <w:sz w:val="28"/>
        </w:rPr>
        <w:t>
      15. Новое химическое соединение, входящее в качестве действующего вещества в состав разрабатываемого лекарственного препарата с модифицированным высвобождением, требует представления всех фармакокинетических данных. Дополнительная документация, специфичная для лекарственной формы с модифицированным высвобождением, включает в себя данные исследований, направленных на оценку факторов, влияющих на биофармацевтические характеристики лекарственного препарата с модифицированным высвобождением, как это указано в подразделе 1 раздела V настоящих Требований.</w:t>
      </w:r>
    </w:p>
    <w:bookmarkEnd w:id="353"/>
    <w:bookmarkStart w:name="z369" w:id="354"/>
    <w:p>
      <w:pPr>
        <w:spacing w:after="0"/>
        <w:ind w:left="0"/>
        <w:jc w:val="both"/>
      </w:pPr>
      <w:r>
        <w:rPr>
          <w:rFonts w:ascii="Times New Roman"/>
          <w:b w:val="false"/>
          <w:i w:val="false"/>
          <w:color w:val="000000"/>
          <w:sz w:val="28"/>
        </w:rPr>
        <w:t>
      16. Для предотвращения дублирования исследований (например, исследование дозовой и временно́й зависимости) рекомендуется в период клинической разработки проводить фармакокинетические исследования лекарственной формы с модифицированным высвобождением как можно раньше. Начальные исследования I фазы разработки (например, исследования, впервые проводимые с участием человека) проводят, используя раствор для приема внутрь или лекарственный препарат с обычным высвобождением, в ходе которых получают основные фармакокинетические характеристики действующего вещества (t</w:t>
      </w:r>
      <w:r>
        <w:rPr>
          <w:rFonts w:ascii="Times New Roman"/>
          <w:b w:val="false"/>
          <w:i w:val="false"/>
          <w:color w:val="000000"/>
          <w:vertAlign w:val="subscript"/>
        </w:rPr>
        <w:t>max</w:t>
      </w: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xml:space="preserve">, Сl, терминальный период полувыведения, путь (пути) выведения). Исследования взаимодействия лекарственных средств и исследования в особых группах населения проводят, используя лекарственный препарат с модифицированным высвобождением. В дополнение к обычным фармакокинетическим исследованиям, необходимым для любого нового лекарственного препарата (например, определение фармакокинетических параметров при однократном и многократном введении доз, а также (при необходимости) влияние пищи и пропорциональность дозы), необходимо описать механизм контроля высвобождения действующего вещества. Это осуществляется в ходе исследований биоэквивалентности (относительной биодоступности), выполняемых с использованием различных составов и (или) методов производства, в которых, например, изменяется количество вспомогательного вещества, контролирующего высвобождение. Если возможно, полученные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фармакокинетические профили необходимо сопоставить с профилями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(приложение № 1 к настоящим Требованиям).</w:t>
      </w:r>
    </w:p>
    <w:bookmarkEnd w:id="354"/>
    <w:bookmarkStart w:name="z370" w:id="355"/>
    <w:p>
      <w:pPr>
        <w:spacing w:after="0"/>
        <w:ind w:left="0"/>
        <w:jc w:val="left"/>
      </w:pPr>
      <w:r>
        <w:rPr>
          <w:rFonts w:ascii="Times New Roman"/>
          <w:b/>
          <w:i w:val="false"/>
          <w:color w:val="000000"/>
        </w:rPr>
        <w:t xml:space="preserve"> Исследования влияния пищи на лекарственные формы с модифицированным высвобождением для приема внутрь </w:t>
      </w:r>
    </w:p>
    <w:bookmarkEnd w:id="355"/>
    <w:bookmarkStart w:name="z371" w:id="356"/>
    <w:p>
      <w:pPr>
        <w:spacing w:after="0"/>
        <w:ind w:left="0"/>
        <w:jc w:val="both"/>
      </w:pPr>
      <w:r>
        <w:rPr>
          <w:rFonts w:ascii="Times New Roman"/>
          <w:b w:val="false"/>
          <w:i w:val="false"/>
          <w:color w:val="000000"/>
          <w:sz w:val="28"/>
        </w:rPr>
        <w:t>
      17. Взаимодействие с пищей может быть обусловлено действующим веществом или лекарственным препаратом (последнее наиболее важно для препаратов с модифицированным высвобождением).</w:t>
      </w:r>
    </w:p>
    <w:bookmarkEnd w:id="356"/>
    <w:bookmarkStart w:name="z372" w:id="357"/>
    <w:p>
      <w:pPr>
        <w:spacing w:after="0"/>
        <w:ind w:left="0"/>
        <w:jc w:val="both"/>
      </w:pPr>
      <w:r>
        <w:rPr>
          <w:rFonts w:ascii="Times New Roman"/>
          <w:b w:val="false"/>
          <w:i w:val="false"/>
          <w:color w:val="000000"/>
          <w:sz w:val="28"/>
        </w:rPr>
        <w:t>
      18. Оптимальные экспериментальные условия исследования влияния пищи предполагают употребление очень жирной пищи непосредственно перед приемом лекарственного препарата в соответствии с указаниями подраздела 1 раздела V настоящих Требований.</w:t>
      </w:r>
    </w:p>
    <w:bookmarkEnd w:id="357"/>
    <w:bookmarkStart w:name="z373" w:id="358"/>
    <w:p>
      <w:pPr>
        <w:spacing w:after="0"/>
        <w:ind w:left="0"/>
        <w:jc w:val="both"/>
      </w:pPr>
      <w:r>
        <w:rPr>
          <w:rFonts w:ascii="Times New Roman"/>
          <w:b w:val="false"/>
          <w:i w:val="false"/>
          <w:color w:val="000000"/>
          <w:sz w:val="28"/>
        </w:rPr>
        <w:t>
      19. Исследования влияния пищи на лекарственные препараты с модифицированным высвобождением рекомендуется проводить на ранних этапах разработки, чтобы в исследования клинической эффективности и безопасности можно было включить соответствующие рекомендации по применению препарата по отношению к приему пищи. Это также важно для безопасности, поскольку оценить перспективный риск быстрого высвобождения дозы необходимо перед началом исследований эффективности и безопасности.</w:t>
      </w:r>
    </w:p>
    <w:bookmarkEnd w:id="358"/>
    <w:bookmarkStart w:name="z374" w:id="359"/>
    <w:p>
      <w:pPr>
        <w:spacing w:after="0"/>
        <w:ind w:left="0"/>
        <w:jc w:val="both"/>
      </w:pPr>
      <w:r>
        <w:rPr>
          <w:rFonts w:ascii="Times New Roman"/>
          <w:b w:val="false"/>
          <w:i w:val="false"/>
          <w:color w:val="000000"/>
          <w:sz w:val="28"/>
        </w:rPr>
        <w:t>
      20. Для оценки влияния пищи на абсорбцию действующего вещества нового лекарственного препарата иногда достаточно провести перекрестное исследование в 2 группах (прием лекарственного препарата с модифицированным высвобождением натощак и после приема пищи). При наличии клинически значимого влияния пищи на лекарственный препарат с модифицированным высвобождением, может потребоваться дополнительное исследование (исследования) с использованием раствора для приема внутрь для оценки того, относится ли влияние пищи к лекарственному препарату, лекарственной форме или к действующему веществу. В этом случае можно провести перекрестное исследование в 4 группах: лекарственный препарат с модифицированным высвобождением натощак и после приема пищи в сравнении с раствором для приема внутрь (или препаратом с обычным высвобождением, если не представляется возможным использовать раствор), принимаемым натощак и после приема пищи.</w:t>
      </w:r>
    </w:p>
    <w:bookmarkEnd w:id="359"/>
    <w:bookmarkStart w:name="z375" w:id="360"/>
    <w:p>
      <w:pPr>
        <w:spacing w:after="0"/>
        <w:ind w:left="0"/>
        <w:jc w:val="both"/>
      </w:pPr>
      <w:r>
        <w:rPr>
          <w:rFonts w:ascii="Times New Roman"/>
          <w:b w:val="false"/>
          <w:i w:val="false"/>
          <w:color w:val="000000"/>
          <w:sz w:val="28"/>
        </w:rPr>
        <w:t xml:space="preserve">
      21. При наличии клинически значимого влияния пищи на лекарственный препарат с модифицированным высвобождением, для разработки рекомендаций по дозированию могут потребоваться дополнительные исследования взаимодействия лекарственного препарата с модифицированным высвобождением с пищей (например, исследования влияния различных видов пищи в зависимости от ее калорийности и состава, направленные на установление влияния пищи, принимаемой в определенное временя до и после приема лекарственного препарата, и т. д.). </w:t>
      </w:r>
    </w:p>
    <w:bookmarkEnd w:id="360"/>
    <w:bookmarkStart w:name="z376" w:id="361"/>
    <w:p>
      <w:pPr>
        <w:spacing w:after="0"/>
        <w:ind w:left="0"/>
        <w:jc w:val="left"/>
      </w:pPr>
      <w:r>
        <w:rPr>
          <w:rFonts w:ascii="Times New Roman"/>
          <w:b/>
          <w:i w:val="false"/>
          <w:color w:val="000000"/>
        </w:rPr>
        <w:t xml:space="preserve"> 2. Фармакокинетические исследования пластырей трансдермальных</w:t>
      </w:r>
    </w:p>
    <w:bookmarkEnd w:id="361"/>
    <w:bookmarkStart w:name="z377" w:id="362"/>
    <w:p>
      <w:pPr>
        <w:spacing w:after="0"/>
        <w:ind w:left="0"/>
        <w:jc w:val="both"/>
      </w:pPr>
      <w:r>
        <w:rPr>
          <w:rFonts w:ascii="Times New Roman"/>
          <w:b w:val="false"/>
          <w:i w:val="false"/>
          <w:color w:val="000000"/>
          <w:sz w:val="28"/>
        </w:rPr>
        <w:t>
      22. Если новое химическое действующее вещество разрабатывается для применения в составе пластыря трансдермального, регистрационное досье такого лекарственного препарата должно содержать соответствующие фармацевтические и химические данные, необходимые доклинические исследования, а также полный комплект данных клинических исследований.</w:t>
      </w:r>
    </w:p>
    <w:bookmarkEnd w:id="362"/>
    <w:bookmarkStart w:name="z378" w:id="363"/>
    <w:p>
      <w:pPr>
        <w:spacing w:after="0"/>
        <w:ind w:left="0"/>
        <w:jc w:val="both"/>
      </w:pPr>
      <w:r>
        <w:rPr>
          <w:rFonts w:ascii="Times New Roman"/>
          <w:b w:val="false"/>
          <w:i w:val="false"/>
          <w:color w:val="000000"/>
          <w:sz w:val="28"/>
        </w:rPr>
        <w:t xml:space="preserve">
      23. В целом кинетика доставки действующего вещества из пластыря трансдермального определяется взаимодействием между действующим веществом, вспомогательными веществами лекарственного препарата и кожей. Для оценки характеристик диффузии действующего вещества и лимитирующей скорость стадии, определяющей системную биодоступность (например, высвобождение и (или) накопление кожей действующего вещества), и (или) других соответствующих свойств лекарственного препарата, необходимо провести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Фармакокинетические исследования должны включать исследования по однократному и многократному применению, учитывающие такие аспекты, как:</w:t>
      </w:r>
    </w:p>
    <w:bookmarkEnd w:id="363"/>
    <w:bookmarkStart w:name="z379" w:id="364"/>
    <w:p>
      <w:pPr>
        <w:spacing w:after="0"/>
        <w:ind w:left="0"/>
        <w:jc w:val="both"/>
      </w:pPr>
      <w:r>
        <w:rPr>
          <w:rFonts w:ascii="Times New Roman"/>
          <w:b w:val="false"/>
          <w:i w:val="false"/>
          <w:color w:val="000000"/>
          <w:sz w:val="28"/>
        </w:rPr>
        <w:t>
      зависимость абсорбции, от места нанесения;</w:t>
      </w:r>
    </w:p>
    <w:bookmarkEnd w:id="364"/>
    <w:bookmarkStart w:name="z380" w:id="365"/>
    <w:p>
      <w:pPr>
        <w:spacing w:after="0"/>
        <w:ind w:left="0"/>
        <w:jc w:val="both"/>
      </w:pPr>
      <w:r>
        <w:rPr>
          <w:rFonts w:ascii="Times New Roman"/>
          <w:b w:val="false"/>
          <w:i w:val="false"/>
          <w:color w:val="000000"/>
          <w:sz w:val="28"/>
        </w:rPr>
        <w:t>
      флуктуацию концентраций;</w:t>
      </w:r>
    </w:p>
    <w:bookmarkEnd w:id="365"/>
    <w:bookmarkStart w:name="z381" w:id="366"/>
    <w:p>
      <w:pPr>
        <w:spacing w:after="0"/>
        <w:ind w:left="0"/>
        <w:jc w:val="both"/>
      </w:pPr>
      <w:r>
        <w:rPr>
          <w:rFonts w:ascii="Times New Roman"/>
          <w:b w:val="false"/>
          <w:i w:val="false"/>
          <w:color w:val="000000"/>
          <w:sz w:val="28"/>
        </w:rPr>
        <w:t>
      латентный период;</w:t>
      </w:r>
    </w:p>
    <w:bookmarkEnd w:id="366"/>
    <w:bookmarkStart w:name="z382" w:id="367"/>
    <w:p>
      <w:pPr>
        <w:spacing w:after="0"/>
        <w:ind w:left="0"/>
        <w:jc w:val="both"/>
      </w:pPr>
      <w:r>
        <w:rPr>
          <w:rFonts w:ascii="Times New Roman"/>
          <w:b w:val="false"/>
          <w:i w:val="false"/>
          <w:color w:val="000000"/>
          <w:sz w:val="28"/>
        </w:rPr>
        <w:t>
      профиль "концентрация – время" после удаления пластыря трансдермального.</w:t>
      </w:r>
    </w:p>
    <w:bookmarkEnd w:id="367"/>
    <w:bookmarkStart w:name="z383" w:id="368"/>
    <w:p>
      <w:pPr>
        <w:spacing w:after="0"/>
        <w:ind w:left="0"/>
        <w:jc w:val="both"/>
      </w:pPr>
      <w:r>
        <w:rPr>
          <w:rFonts w:ascii="Times New Roman"/>
          <w:b w:val="false"/>
          <w:i w:val="false"/>
          <w:color w:val="000000"/>
          <w:sz w:val="28"/>
        </w:rPr>
        <w:t xml:space="preserve">
      Желательно установить связь между свойствами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для пластыря трансдермального</w:t>
      </w:r>
      <w:r>
        <w:rPr>
          <w:rFonts w:ascii="Times New Roman"/>
          <w:b w:val="false"/>
          <w:i/>
          <w:color w:val="000000"/>
          <w:sz w:val="28"/>
        </w:rPr>
        <w:t>.</w:t>
      </w:r>
      <w:r>
        <w:rPr>
          <w:rFonts w:ascii="Times New Roman"/>
          <w:b w:val="false"/>
          <w:i w:val="false"/>
          <w:color w:val="000000"/>
          <w:sz w:val="28"/>
        </w:rPr>
        <w:t xml:space="preserve"> В случае разработки нескольких дозировок необходимо исследовать пропорциональность этих дозировок в соответствии с требованиями подраздела 1 раздела V настоящих Требований.</w:t>
      </w:r>
    </w:p>
    <w:bookmarkEnd w:id="368"/>
    <w:bookmarkStart w:name="z384" w:id="369"/>
    <w:p>
      <w:pPr>
        <w:spacing w:after="0"/>
        <w:ind w:left="0"/>
        <w:jc w:val="both"/>
      </w:pPr>
      <w:r>
        <w:rPr>
          <w:rFonts w:ascii="Times New Roman"/>
          <w:b w:val="false"/>
          <w:i w:val="false"/>
          <w:color w:val="000000"/>
          <w:sz w:val="28"/>
        </w:rPr>
        <w:t xml:space="preserve">
      24. В дополнение к стандартным исследованиям I фазы необходимо провести исследование на: </w:t>
      </w:r>
    </w:p>
    <w:bookmarkEnd w:id="369"/>
    <w:bookmarkStart w:name="z385" w:id="370"/>
    <w:p>
      <w:pPr>
        <w:spacing w:after="0"/>
        <w:ind w:left="0"/>
        <w:jc w:val="both"/>
      </w:pPr>
      <w:r>
        <w:rPr>
          <w:rFonts w:ascii="Times New Roman"/>
          <w:b w:val="false"/>
          <w:i w:val="false"/>
          <w:color w:val="000000"/>
          <w:sz w:val="28"/>
        </w:rPr>
        <w:t>
      раздражение кожи;</w:t>
      </w:r>
    </w:p>
    <w:bookmarkEnd w:id="370"/>
    <w:bookmarkStart w:name="z386" w:id="371"/>
    <w:p>
      <w:pPr>
        <w:spacing w:after="0"/>
        <w:ind w:left="0"/>
        <w:jc w:val="both"/>
      </w:pPr>
      <w:r>
        <w:rPr>
          <w:rFonts w:ascii="Times New Roman"/>
          <w:b w:val="false"/>
          <w:i w:val="false"/>
          <w:color w:val="000000"/>
          <w:sz w:val="28"/>
        </w:rPr>
        <w:t>
      сенсибилизацию (приложение № 2 к настоящим Требованиям);</w:t>
      </w:r>
    </w:p>
    <w:bookmarkEnd w:id="371"/>
    <w:bookmarkStart w:name="z387" w:id="372"/>
    <w:p>
      <w:pPr>
        <w:spacing w:after="0"/>
        <w:ind w:left="0"/>
        <w:jc w:val="both"/>
      </w:pPr>
      <w:r>
        <w:rPr>
          <w:rFonts w:ascii="Times New Roman"/>
          <w:b w:val="false"/>
          <w:i w:val="false"/>
          <w:color w:val="000000"/>
          <w:sz w:val="28"/>
        </w:rPr>
        <w:t xml:space="preserve">
      фототоксичность и адгезивность пластыря трансдермального (приложение № 3 к настоящим Требованиям). </w:t>
      </w:r>
    </w:p>
    <w:bookmarkEnd w:id="372"/>
    <w:bookmarkStart w:name="z388" w:id="373"/>
    <w:p>
      <w:pPr>
        <w:spacing w:after="0"/>
        <w:ind w:left="0"/>
        <w:jc w:val="both"/>
      </w:pPr>
      <w:r>
        <w:rPr>
          <w:rFonts w:ascii="Times New Roman"/>
          <w:b w:val="false"/>
          <w:i w:val="false"/>
          <w:color w:val="000000"/>
          <w:sz w:val="28"/>
        </w:rPr>
        <w:t>
      При оценке адгезивности пластыря трансдермального необходимо учесть влияние внешних факторов (например, температуры, солнцезащитных кремов). Как правило, пластыри трансдермальные предназначены для применения у пожилых лиц. Следовательно, испытания необходимо проводить с участием лиц с состоянием кожи, характерным для такой возрастной группы. Инструкция по медицинскому применению (листок-вкладыш) к лекарственному препарату должна содержать конкретные указания по применению в особых случаях (например, в сауне). Для предотвращения ошибок применения пластырей трансдермальных (например, при плохом зрении) разработка пластырей трансдермальных незаметных на коже пациента должна рассматриваться с консервативной точки зрения. В таких случаях для увеличения заметности пластыря на него наносят легко заметную краску.</w:t>
      </w:r>
    </w:p>
    <w:bookmarkEnd w:id="373"/>
    <w:bookmarkStart w:name="z389" w:id="374"/>
    <w:p>
      <w:pPr>
        <w:spacing w:after="0"/>
        <w:ind w:left="0"/>
        <w:jc w:val="left"/>
      </w:pPr>
      <w:r>
        <w:rPr>
          <w:rFonts w:ascii="Times New Roman"/>
          <w:b/>
          <w:i w:val="false"/>
          <w:color w:val="000000"/>
        </w:rPr>
        <w:t xml:space="preserve"> 3. Фармакокинетические исследования внутримышечных (подкожных) депо-препаратов</w:t>
      </w:r>
    </w:p>
    <w:bookmarkEnd w:id="374"/>
    <w:bookmarkStart w:name="z390" w:id="375"/>
    <w:p>
      <w:pPr>
        <w:spacing w:after="0"/>
        <w:ind w:left="0"/>
        <w:jc w:val="both"/>
      </w:pPr>
      <w:r>
        <w:rPr>
          <w:rFonts w:ascii="Times New Roman"/>
          <w:b w:val="false"/>
          <w:i w:val="false"/>
          <w:color w:val="000000"/>
          <w:sz w:val="28"/>
        </w:rPr>
        <w:t xml:space="preserve">
      25. Кинетика внутримышечных (подкожных) депо-препаратов определяется взаимодействием действующего вещества лекарственного препарата и мышечной ткани. Для оценки характеристик диффузии действующего вещества из внутримышечного или подкожного депо и лимитирующей скорость стадии, определяющей системную биодоступность (например, высвобождение действующего вещества из кожного резервуара) и (или) обстоятельств, опосредованных препаратом, необходимо провести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Фармакокинетические исследования должны включать в себя исследования с однократным и многократным введением дозы внутримышечных (подкожных) депо-препаратов, учитывающие определенные аспекты (например, зависимость абсорбции от места применения, флуктуацию концентрации, латентный период). Необходимо установить связь между свойствами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для внутримышечных (подкожных) депо-препаратов</w:t>
      </w:r>
      <w:r>
        <w:rPr>
          <w:rFonts w:ascii="Times New Roman"/>
          <w:b w:val="false"/>
          <w:i/>
          <w:color w:val="000000"/>
          <w:sz w:val="28"/>
        </w:rPr>
        <w:t>.</w:t>
      </w:r>
      <w:r>
        <w:rPr>
          <w:rFonts w:ascii="Times New Roman"/>
          <w:b w:val="false"/>
          <w:i w:val="false"/>
          <w:color w:val="000000"/>
          <w:sz w:val="28"/>
        </w:rPr>
        <w:t xml:space="preserve"> В случае применения нескольких дозировок внутримышечных (подкожных) депо-препаратов необходимо соответствующим образом исследовать пропорциональность этих дозировок внутримышечных (подкожных) депо-препаратов.</w:t>
      </w:r>
    </w:p>
    <w:bookmarkEnd w:id="375"/>
    <w:bookmarkStart w:name="z391" w:id="376"/>
    <w:p>
      <w:pPr>
        <w:spacing w:after="0"/>
        <w:ind w:left="0"/>
        <w:jc w:val="left"/>
      </w:pPr>
      <w:r>
        <w:rPr>
          <w:rFonts w:ascii="Times New Roman"/>
          <w:b/>
          <w:i w:val="false"/>
          <w:color w:val="000000"/>
        </w:rPr>
        <w:t xml:space="preserve"> V. Исследования лекарственных форм с модифицированным высвобождением, действующее вещество которых зарегистрировано </w:t>
      </w:r>
      <w:r>
        <w:br/>
      </w:r>
      <w:r>
        <w:rPr>
          <w:rFonts w:ascii="Times New Roman"/>
          <w:b/>
          <w:i w:val="false"/>
          <w:color w:val="000000"/>
        </w:rPr>
        <w:t>в составе лекарственного препарата с другой скоростью высвобождения</w:t>
      </w:r>
    </w:p>
    <w:bookmarkEnd w:id="376"/>
    <w:bookmarkStart w:name="z392" w:id="377"/>
    <w:p>
      <w:pPr>
        <w:spacing w:after="0"/>
        <w:ind w:left="0"/>
        <w:jc w:val="both"/>
      </w:pPr>
      <w:r>
        <w:rPr>
          <w:rFonts w:ascii="Times New Roman"/>
          <w:b w:val="false"/>
          <w:i w:val="false"/>
          <w:color w:val="000000"/>
          <w:sz w:val="28"/>
        </w:rPr>
        <w:t>
      26. Лекарственные формы с модифицированным высвобождением разрабатываются на основе существующей зависимости между фармакологическим (токсикологическим) ответом и характеристиками системной экспозиции действующего вещества и (или) метаболита (метаболитов). Следовательно, цель разработки лекарственной формы с модифицированным высвобождением в большинстве случаев состоит в достижении общей экспозиции (AUC) действующего вещества, аналогичной лекарственной форме с обычным высвобождением. Необязательно применять те же номинальные дозы, поскольку лекарственная форма с модифицированным высвобождением может иметь другую степень абсорбции или метаболизма.</w:t>
      </w:r>
    </w:p>
    <w:bookmarkEnd w:id="377"/>
    <w:bookmarkStart w:name="z393" w:id="378"/>
    <w:p>
      <w:pPr>
        <w:spacing w:after="0"/>
        <w:ind w:left="0"/>
        <w:jc w:val="both"/>
      </w:pPr>
      <w:r>
        <w:rPr>
          <w:rFonts w:ascii="Times New Roman"/>
          <w:b w:val="false"/>
          <w:i w:val="false"/>
          <w:color w:val="000000"/>
          <w:sz w:val="28"/>
        </w:rPr>
        <w:t>
      27. В целом лекарственные формы с модифицированным высвобождением не являются биоэквивалентными соответствующей лекарственной форме с обычным высвобождением. Использование только фармакокинетических данных может быть недостаточным для выполнения оценки соотношения "польза – риск" для лекарственной формы с модифицированным высвобождением по сравнению с обычной лекарственной формой, применяемой в соответствующих дозах. При отсутствии иного обоснования помимо фармакокинетических данных необходимо получить дополнительные данные клинических исследований, указанные в подразделе 2 настоящего раздела.</w:t>
      </w:r>
    </w:p>
    <w:bookmarkEnd w:id="378"/>
    <w:bookmarkStart w:name="z394" w:id="379"/>
    <w:p>
      <w:pPr>
        <w:spacing w:after="0"/>
        <w:ind w:left="0"/>
        <w:jc w:val="both"/>
      </w:pPr>
      <w:r>
        <w:rPr>
          <w:rFonts w:ascii="Times New Roman"/>
          <w:b w:val="false"/>
          <w:i w:val="false"/>
          <w:color w:val="000000"/>
          <w:sz w:val="28"/>
        </w:rPr>
        <w:t>
      28. В случае, если дозировка новой лекарственной формы с модифицированным высвобождением отличается от дозировки зарегистрированной лекарственной формы с обычным высвобождением, это отличие и отличия в возможных режимах дозирования необходимо четко указать в общей характеристике лекарственного препарата, листке-вкладыше и маркировке. Необходимо также указать наиболее важные обычные меры минимизации рисков, связанных с ошибками применения таких дозировок лекарственных форм. Заявитель должен подтвердить, что польза новой лекарственной формы превышает потенциальные риски, характерные для данного препарата (например, неправильное применение).</w:t>
      </w:r>
    </w:p>
    <w:bookmarkEnd w:id="379"/>
    <w:bookmarkStart w:name="z395" w:id="380"/>
    <w:p>
      <w:pPr>
        <w:spacing w:after="0"/>
        <w:ind w:left="0"/>
        <w:jc w:val="both"/>
      </w:pPr>
      <w:r>
        <w:rPr>
          <w:rFonts w:ascii="Times New Roman"/>
          <w:b w:val="false"/>
          <w:i w:val="false"/>
          <w:color w:val="000000"/>
          <w:sz w:val="28"/>
        </w:rPr>
        <w:t>
      29. Новый лекарственный препарат необходимо охарактеризовать в соответствующих фармакокинетических, фармакодинамических и клинических исследованиях эффективности (безопасности) при однократном и многократном введении доз. В некоторых случаях могут потребоваться дополнительные исследования (например, если препарат с модифицированным высвобождением применяется с помощью нового пути введения, необходимо проведение фармакокинетического исследования в целях получения характеристик метаболического профиля).</w:t>
      </w:r>
    </w:p>
    <w:bookmarkEnd w:id="380"/>
    <w:bookmarkStart w:name="z396" w:id="381"/>
    <w:p>
      <w:pPr>
        <w:spacing w:after="0"/>
        <w:ind w:left="0"/>
        <w:jc w:val="both"/>
      </w:pPr>
      <w:r>
        <w:rPr>
          <w:rFonts w:ascii="Times New Roman"/>
          <w:b w:val="false"/>
          <w:i w:val="false"/>
          <w:color w:val="000000"/>
          <w:sz w:val="28"/>
        </w:rPr>
        <w:t>
      30. Токсикологические, фармакологические или клинические испытания для определения свойств действующего вещества лекарственных форм с модифицированным высвобождением не требуются при условии, что при применении лекарственных препаратов с модифицированным и обычным высвобождением наблюдается сходная общая экспозиция действующего вещества (метаболитов).</w:t>
      </w:r>
    </w:p>
    <w:bookmarkEnd w:id="381"/>
    <w:bookmarkStart w:name="z397" w:id="382"/>
    <w:p>
      <w:pPr>
        <w:spacing w:after="0"/>
        <w:ind w:left="0"/>
        <w:jc w:val="both"/>
      </w:pPr>
      <w:r>
        <w:rPr>
          <w:rFonts w:ascii="Times New Roman"/>
          <w:b w:val="false"/>
          <w:i w:val="false"/>
          <w:color w:val="000000"/>
          <w:sz w:val="28"/>
        </w:rPr>
        <w:t>
      31. Зарегистрированный лекарственный препарат с обычным высвобождением, содержащий то же действующее вещество, что и в лекарственной форме с модифицированным высвобождением, является референтным лекарственным препаратом. Референтный лекарственный препарат используется в фармакокинетических и терапевтических исследованиях до тех пор, пока не будет установлено, что различия между референтным и исследуемым лекарственным препаратами не влияют на характеристики высвобождения и биодоступности.</w:t>
      </w:r>
    </w:p>
    <w:bookmarkEnd w:id="382"/>
    <w:bookmarkStart w:name="z398" w:id="383"/>
    <w:p>
      <w:pPr>
        <w:spacing w:after="0"/>
        <w:ind w:left="0"/>
        <w:jc w:val="left"/>
      </w:pPr>
      <w:r>
        <w:rPr>
          <w:rFonts w:ascii="Times New Roman"/>
          <w:b/>
          <w:i w:val="false"/>
          <w:color w:val="000000"/>
        </w:rPr>
        <w:t xml:space="preserve"> 1. Фармакокинетические исследования</w:t>
      </w:r>
    </w:p>
    <w:bookmarkEnd w:id="383"/>
    <w:bookmarkStart w:name="z399" w:id="384"/>
    <w:p>
      <w:pPr>
        <w:spacing w:after="0"/>
        <w:ind w:left="0"/>
        <w:jc w:val="both"/>
      </w:pPr>
      <w:r>
        <w:rPr>
          <w:rFonts w:ascii="Times New Roman"/>
          <w:b w:val="false"/>
          <w:i w:val="false"/>
          <w:color w:val="000000"/>
          <w:sz w:val="28"/>
        </w:rPr>
        <w:t xml:space="preserve">
      32. Цель фармакокинетических исследований заключается в характеристике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лекарственного препарата с модифицированным высвобождением путем определения:</w:t>
      </w:r>
    </w:p>
    <w:bookmarkEnd w:id="384"/>
    <w:bookmarkStart w:name="z400" w:id="385"/>
    <w:p>
      <w:pPr>
        <w:spacing w:after="0"/>
        <w:ind w:left="0"/>
        <w:jc w:val="both"/>
      </w:pPr>
      <w:r>
        <w:rPr>
          <w:rFonts w:ascii="Times New Roman"/>
          <w:b w:val="false"/>
          <w:i w:val="false"/>
          <w:color w:val="000000"/>
          <w:sz w:val="28"/>
        </w:rPr>
        <w:t>
      а) скорости и степени абсорбции;</w:t>
      </w:r>
    </w:p>
    <w:bookmarkEnd w:id="385"/>
    <w:bookmarkStart w:name="z401" w:id="386"/>
    <w:p>
      <w:pPr>
        <w:spacing w:after="0"/>
        <w:ind w:left="0"/>
        <w:jc w:val="both"/>
      </w:pPr>
      <w:r>
        <w:rPr>
          <w:rFonts w:ascii="Times New Roman"/>
          <w:b w:val="false"/>
          <w:i w:val="false"/>
          <w:color w:val="000000"/>
          <w:sz w:val="28"/>
        </w:rPr>
        <w:t>
      б) флуктуации концентрации действующего вещества в равновесном состоянии;</w:t>
      </w:r>
    </w:p>
    <w:bookmarkEnd w:id="386"/>
    <w:bookmarkStart w:name="z402" w:id="387"/>
    <w:p>
      <w:pPr>
        <w:spacing w:after="0"/>
        <w:ind w:left="0"/>
        <w:jc w:val="both"/>
      </w:pPr>
      <w:r>
        <w:rPr>
          <w:rFonts w:ascii="Times New Roman"/>
          <w:b w:val="false"/>
          <w:i w:val="false"/>
          <w:color w:val="000000"/>
          <w:sz w:val="28"/>
        </w:rPr>
        <w:t>
      в) вариабельности между субъектами фармакокинетических исследований, обусловленной составом лекарственного препарата или методом его производства;</w:t>
      </w:r>
    </w:p>
    <w:bookmarkEnd w:id="387"/>
    <w:bookmarkStart w:name="z403" w:id="388"/>
    <w:p>
      <w:pPr>
        <w:spacing w:after="0"/>
        <w:ind w:left="0"/>
        <w:jc w:val="both"/>
      </w:pPr>
      <w:r>
        <w:rPr>
          <w:rFonts w:ascii="Times New Roman"/>
          <w:b w:val="false"/>
          <w:i w:val="false"/>
          <w:color w:val="000000"/>
          <w:sz w:val="28"/>
        </w:rPr>
        <w:t>
      г) пропорциональности дозы лекарственного препарата;</w:t>
      </w:r>
    </w:p>
    <w:bookmarkEnd w:id="388"/>
    <w:bookmarkStart w:name="z404" w:id="389"/>
    <w:p>
      <w:pPr>
        <w:spacing w:after="0"/>
        <w:ind w:left="0"/>
        <w:jc w:val="both"/>
      </w:pPr>
      <w:r>
        <w:rPr>
          <w:rFonts w:ascii="Times New Roman"/>
          <w:b w:val="false"/>
          <w:i w:val="false"/>
          <w:color w:val="000000"/>
          <w:sz w:val="28"/>
        </w:rPr>
        <w:t>
      д) факторов, влияющих на функциональные характеристики лекарственного препарата с модифицированным высвобождением;</w:t>
      </w:r>
    </w:p>
    <w:bookmarkEnd w:id="389"/>
    <w:bookmarkStart w:name="z405" w:id="390"/>
    <w:p>
      <w:pPr>
        <w:spacing w:after="0"/>
        <w:ind w:left="0"/>
        <w:jc w:val="both"/>
      </w:pPr>
      <w:r>
        <w:rPr>
          <w:rFonts w:ascii="Times New Roman"/>
          <w:b w:val="false"/>
          <w:i w:val="false"/>
          <w:color w:val="000000"/>
          <w:sz w:val="28"/>
        </w:rPr>
        <w:t>
      е) риска непредвиденных характеристик высвобождения (например, быстрого высвобождения дозы).</w:t>
      </w:r>
    </w:p>
    <w:bookmarkEnd w:id="390"/>
    <w:bookmarkStart w:name="z406" w:id="391"/>
    <w:p>
      <w:pPr>
        <w:spacing w:after="0"/>
        <w:ind w:left="0"/>
        <w:jc w:val="both"/>
      </w:pPr>
      <w:r>
        <w:rPr>
          <w:rFonts w:ascii="Times New Roman"/>
          <w:b w:val="false"/>
          <w:i w:val="false"/>
          <w:color w:val="000000"/>
          <w:sz w:val="28"/>
        </w:rPr>
        <w:t xml:space="preserve">
      33. Фармакокинетические исследования основываются на измерениях концентрации действующего вещества и (или) метаболита, а в некоторых случаях в сочетании с определением острого фармакодинамического эффекта. В связи с существенным влиянием состава лекарственного препарата на его биофармацевтические свойства, требования к изучению метаболитов, содержащиеся в </w:t>
      </w:r>
      <w:r>
        <w:rPr>
          <w:rFonts w:ascii="Times New Roman"/>
          <w:b w:val="false"/>
          <w:i w:val="false"/>
          <w:color w:val="000000"/>
          <w:sz w:val="28"/>
        </w:rPr>
        <w:t>Правилах</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утвержденных Решением Совета Евразийской экономической комиссии от 3 ноября 2016 г. № 85 (далее – Правила проведения исследования биоэквивалентности), не применяются. Необходимо определять концентрацию метаболитов, поскольку изменение скорости абсорбции или пути введения может изменить степень и путь метаболизма.</w:t>
      </w:r>
    </w:p>
    <w:bookmarkEnd w:id="391"/>
    <w:bookmarkStart w:name="z407" w:id="392"/>
    <w:p>
      <w:pPr>
        <w:spacing w:after="0"/>
        <w:ind w:left="0"/>
        <w:jc w:val="both"/>
      </w:pPr>
      <w:r>
        <w:rPr>
          <w:rFonts w:ascii="Times New Roman"/>
          <w:b w:val="false"/>
          <w:i w:val="false"/>
          <w:color w:val="000000"/>
          <w:sz w:val="28"/>
        </w:rPr>
        <w:t>
      34. Фармакокинетические исследования проводят с участием здоровых добровольцев или (из соображений безопасности) с участием пациентов.</w:t>
      </w:r>
    </w:p>
    <w:bookmarkEnd w:id="392"/>
    <w:bookmarkStart w:name="z408" w:id="393"/>
    <w:p>
      <w:pPr>
        <w:spacing w:after="0"/>
        <w:ind w:left="0"/>
        <w:jc w:val="both"/>
      </w:pPr>
      <w:r>
        <w:rPr>
          <w:rFonts w:ascii="Times New Roman"/>
          <w:b w:val="false"/>
          <w:i w:val="false"/>
          <w:color w:val="000000"/>
          <w:sz w:val="28"/>
        </w:rPr>
        <w:t>
      35. При проведении фармакокинетических исследований с многократным введением дозы необходимо подтвердить достижение равновесного состояния. Достижение равновесного состояния при отсутствии иного обоснования определяется сравнением по меньшей мере 3 предварительно установленных концентраций перед введением каждой дозы лекарственного препарата. Фармакокинетические исследования с многократным введением дозы не требуются в случае отсутствия кумуляции действующего вещества (то есть его несущественного содержания в организме человека в конце периода дозирования), исходя из критериев, приведенных в подразделе 1 раздела VI настоящих Требований.</w:t>
      </w:r>
    </w:p>
    <w:bookmarkEnd w:id="393"/>
    <w:bookmarkStart w:name="z409" w:id="394"/>
    <w:p>
      <w:pPr>
        <w:spacing w:after="0"/>
        <w:ind w:left="0"/>
        <w:jc w:val="both"/>
      </w:pPr>
      <w:r>
        <w:rPr>
          <w:rFonts w:ascii="Times New Roman"/>
          <w:b w:val="false"/>
          <w:i w:val="false"/>
          <w:color w:val="000000"/>
          <w:sz w:val="28"/>
        </w:rPr>
        <w:t>
      36. В отношении сопутствующего приема пищи необходимо провести исследование биоэквивалентности с многократным введением дозы с учетом условий, указанных в общей характеристике лекарственного препарата, до достижения равновесного состояния. Если в общей характеристике лекарственного препарата устанавливается определенное время приема пищи (интервал времени) по отношению к введению лекарственного препарата, это время (интервал времени) должно соблюдаться на протяжении всего исследования, в том числе в день определения фармакокинетических профилей. Если в общей характеристике лекарственного препарата рекомендуется принимать лекарственный препарат натощак (без определения границ времени) или независимо от приема пищи, в день определения фармакокинетических профилей необходимо использовать худший вариант приема лекарственного препарата натощак (например, натощак утром и в течение 4 часов без еды после приема препарата). Если в общей характеристике лекарственного препарата рекомендуется принимать лекарственный препарат после приема пищи, на протяжении всего исследования, включая дни определения фармакокинетических профилей, необходимо принимать пищу с нормальным содержанием калорий, если другие условия приема пищи не установлены в общей характеристике лекарственного препарата.</w:t>
      </w:r>
    </w:p>
    <w:bookmarkEnd w:id="394"/>
    <w:bookmarkStart w:name="z410" w:id="395"/>
    <w:p>
      <w:pPr>
        <w:spacing w:after="0"/>
        <w:ind w:left="0"/>
        <w:jc w:val="left"/>
      </w:pPr>
      <w:r>
        <w:rPr>
          <w:rFonts w:ascii="Times New Roman"/>
          <w:b/>
          <w:i w:val="false"/>
          <w:color w:val="000000"/>
        </w:rPr>
        <w:t xml:space="preserve"> Скорость и степень абсорбции, флуктуация действующего вещества</w:t>
      </w:r>
    </w:p>
    <w:bookmarkEnd w:id="395"/>
    <w:bookmarkStart w:name="z411" w:id="396"/>
    <w:p>
      <w:pPr>
        <w:spacing w:after="0"/>
        <w:ind w:left="0"/>
        <w:jc w:val="both"/>
      </w:pPr>
      <w:r>
        <w:rPr>
          <w:rFonts w:ascii="Times New Roman"/>
          <w:b w:val="false"/>
          <w:i w:val="false"/>
          <w:color w:val="000000"/>
          <w:sz w:val="28"/>
        </w:rPr>
        <w:t xml:space="preserve">
      37. Скорость и степень абсорбции действующего вещества лекарственной формы с модифицированным высвобождением необходимо оценить путем сравнения со скоростью и степенью абсорбции действующего вещества лекарственной формы с обычным высвобождением после однократного введения и при наличии кумуляции после многократного введения. </w:t>
      </w:r>
    </w:p>
    <w:bookmarkEnd w:id="396"/>
    <w:bookmarkStart w:name="z412" w:id="397"/>
    <w:p>
      <w:pPr>
        <w:spacing w:after="0"/>
        <w:ind w:left="0"/>
        <w:jc w:val="both"/>
      </w:pPr>
      <w:r>
        <w:rPr>
          <w:rFonts w:ascii="Times New Roman"/>
          <w:b w:val="false"/>
          <w:i w:val="false"/>
          <w:color w:val="000000"/>
          <w:sz w:val="28"/>
        </w:rPr>
        <w:t>
      К исследуемым фармакокинетическим параметрам относятся:</w:t>
      </w:r>
    </w:p>
    <w:bookmarkEnd w:id="397"/>
    <w:bookmarkStart w:name="z413" w:id="398"/>
    <w:p>
      <w:pPr>
        <w:spacing w:after="0"/>
        <w:ind w:left="0"/>
        <w:jc w:val="both"/>
      </w:pPr>
      <w:r>
        <w:rPr>
          <w:rFonts w:ascii="Times New Roman"/>
          <w:b w:val="false"/>
          <w:i w:val="false"/>
          <w:color w:val="000000"/>
          <w:sz w:val="28"/>
        </w:rPr>
        <w:t xml:space="preserve">
      в исследованиях с однократным введением дозы: </w:t>
      </w:r>
    </w:p>
    <w:bookmarkEnd w:id="398"/>
    <w:bookmarkStart w:name="z414" w:id="399"/>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399"/>
    <w:bookmarkStart w:name="z415" w:id="400"/>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w:t>
      </w:r>
    </w:p>
    <w:bookmarkEnd w:id="400"/>
    <w:bookmarkStart w:name="z416" w:id="401"/>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(остаточная площадь);</w:t>
      </w:r>
    </w:p>
    <w:bookmarkEnd w:id="401"/>
    <w:bookmarkStart w:name="z417" w:id="402"/>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402"/>
    <w:bookmarkStart w:name="z418" w:id="403"/>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w:t>
      </w:r>
    </w:p>
    <w:bookmarkEnd w:id="403"/>
    <w:bookmarkStart w:name="z419" w:id="4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½</w:t>
      </w:r>
      <w:r>
        <w:rPr>
          <w:rFonts w:ascii="Times New Roman"/>
          <w:b w:val="false"/>
          <w:i w:val="false"/>
          <w:color w:val="000000"/>
          <w:sz w:val="28"/>
        </w:rPr>
        <w:t>;</w:t>
      </w:r>
    </w:p>
    <w:bookmarkEnd w:id="404"/>
    <w:bookmarkStart w:name="z420" w:id="405"/>
    <w:p>
      <w:pPr>
        <w:spacing w:after="0"/>
        <w:ind w:left="0"/>
        <w:jc w:val="both"/>
      </w:pPr>
      <w:r>
        <w:rPr>
          <w:rFonts w:ascii="Times New Roman"/>
          <w:b w:val="false"/>
          <w:i w:val="false"/>
          <w:color w:val="000000"/>
          <w:sz w:val="28"/>
        </w:rPr>
        <w:t>
      t</w:t>
      </w:r>
      <w:r>
        <w:rPr>
          <w:rFonts w:ascii="Times New Roman"/>
          <w:b w:val="false"/>
          <w:i w:val="false"/>
          <w:color w:val="000000"/>
          <w:vertAlign w:val="subscript"/>
        </w:rPr>
        <w:t>lag</w:t>
      </w:r>
      <w:r>
        <w:rPr>
          <w:rFonts w:ascii="Times New Roman"/>
          <w:b w:val="false"/>
          <w:i w:val="false"/>
          <w:color w:val="000000"/>
          <w:sz w:val="28"/>
        </w:rPr>
        <w:t>;</w:t>
      </w:r>
    </w:p>
    <w:bookmarkEnd w:id="405"/>
    <w:bookmarkStart w:name="z421" w:id="406"/>
    <w:p>
      <w:pPr>
        <w:spacing w:after="0"/>
        <w:ind w:left="0"/>
        <w:jc w:val="both"/>
      </w:pPr>
      <w:r>
        <w:rPr>
          <w:rFonts w:ascii="Times New Roman"/>
          <w:b w:val="false"/>
          <w:i w:val="false"/>
          <w:color w:val="000000"/>
          <w:sz w:val="28"/>
        </w:rPr>
        <w:t>
      для исследований с многократным введением дозы:</w:t>
      </w:r>
    </w:p>
    <w:bookmarkEnd w:id="406"/>
    <w:bookmarkStart w:name="z422" w:id="407"/>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(0-t)</w:t>
      </w:r>
      <w:r>
        <w:rPr>
          <w:rFonts w:ascii="Times New Roman"/>
          <w:b w:val="false"/>
          <w:i w:val="false"/>
          <w:color w:val="000000"/>
          <w:sz w:val="28"/>
        </w:rPr>
        <w:t>;</w:t>
      </w:r>
    </w:p>
    <w:bookmarkEnd w:id="407"/>
    <w:bookmarkStart w:name="z423" w:id="408"/>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max,ss</w:t>
      </w:r>
      <w:r>
        <w:rPr>
          <w:rFonts w:ascii="Times New Roman"/>
          <w:b w:val="false"/>
          <w:i w:val="false"/>
          <w:color w:val="000000"/>
          <w:sz w:val="28"/>
        </w:rPr>
        <w:t>;</w:t>
      </w:r>
    </w:p>
    <w:bookmarkEnd w:id="408"/>
    <w:bookmarkStart w:name="z424" w:id="409"/>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max,ss</w:t>
      </w:r>
      <w:r>
        <w:rPr>
          <w:rFonts w:ascii="Times New Roman"/>
          <w:b w:val="false"/>
          <w:i w:val="false"/>
          <w:color w:val="000000"/>
          <w:sz w:val="28"/>
        </w:rPr>
        <w:t>;</w:t>
      </w:r>
    </w:p>
    <w:bookmarkEnd w:id="409"/>
    <w:bookmarkStart w:name="z425" w:id="410"/>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410"/>
    <w:bookmarkStart w:name="z426" w:id="411"/>
    <w:p>
      <w:pPr>
        <w:spacing w:after="0"/>
        <w:ind w:left="0"/>
        <w:jc w:val="both"/>
      </w:pPr>
      <w:r>
        <w:rPr>
          <w:rFonts w:ascii="Times New Roman"/>
          <w:b w:val="false"/>
          <w:i w:val="false"/>
          <w:color w:val="000000"/>
          <w:sz w:val="28"/>
        </w:rPr>
        <w:t xml:space="preserve">
      флуктуация концентрации. </w:t>
      </w:r>
    </w:p>
    <w:bookmarkEnd w:id="411"/>
    <w:bookmarkStart w:name="z427" w:id="412"/>
    <w:p>
      <w:pPr>
        <w:spacing w:after="0"/>
        <w:ind w:left="0"/>
        <w:jc w:val="both"/>
      </w:pPr>
      <w:r>
        <w:rPr>
          <w:rFonts w:ascii="Times New Roman"/>
          <w:b w:val="false"/>
          <w:i w:val="false"/>
          <w:color w:val="000000"/>
          <w:sz w:val="28"/>
        </w:rPr>
        <w:t>
      Необходимо обосновать фармакокинетический параметр (параметры), выбранный в качестве основного для сравнения, то есть параметр, рассматриваемый в качестве наиболее вероятно отражающего эффективность и безопасность лекарственного препарата.</w:t>
      </w:r>
    </w:p>
    <w:bookmarkEnd w:id="412"/>
    <w:bookmarkStart w:name="z428" w:id="413"/>
    <w:p>
      <w:pPr>
        <w:spacing w:after="0"/>
        <w:ind w:left="0"/>
        <w:jc w:val="both"/>
      </w:pPr>
      <w:r>
        <w:rPr>
          <w:rFonts w:ascii="Times New Roman"/>
          <w:b w:val="false"/>
          <w:i w:val="false"/>
          <w:color w:val="000000"/>
          <w:sz w:val="28"/>
        </w:rPr>
        <w:t xml:space="preserve">
      38. Необходимо подтвердить, что лекарственная форма с модифицированным высвобождением обладает заявленными характеристиками высвобождения. Рекомендуется использовать деконволюцию данных "концентрация – время" для лекарственной формы с модифицированным высвобождением в сравнении с соответствующей лекарственной формой с обычным высвобождением для определения кумулятивного профиля абсорбции (или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во времени для лекарственной формы с модифицированным высвобождением. Для подтверждения заявленных характеристик высвобождения необходимо использовать кумулятивное абсорбированное количество и скорость абсорбции во времени.</w:t>
      </w:r>
    </w:p>
    <w:bookmarkEnd w:id="413"/>
    <w:bookmarkStart w:name="z429" w:id="414"/>
    <w:p>
      <w:pPr>
        <w:spacing w:after="0"/>
        <w:ind w:left="0"/>
        <w:jc w:val="both"/>
      </w:pPr>
      <w:r>
        <w:rPr>
          <w:rFonts w:ascii="Times New Roman"/>
          <w:b w:val="false"/>
          <w:i w:val="false"/>
          <w:color w:val="000000"/>
          <w:sz w:val="28"/>
        </w:rPr>
        <w:t>
      39. После многократного введения дозы необходимо исследовать флуктуацию концентрации действующего вещества. Если не обосновано иное, лекарственная форма с модифицированным высвобождением должна показывать аналогичные или меньшие флуктуации по сравнению с лекарственной формой с обычным высвобождением.</w:t>
      </w:r>
    </w:p>
    <w:bookmarkEnd w:id="414"/>
    <w:bookmarkStart w:name="z430" w:id="415"/>
    <w:p>
      <w:pPr>
        <w:spacing w:after="0"/>
        <w:ind w:left="0"/>
        <w:jc w:val="both"/>
      </w:pPr>
      <w:r>
        <w:rPr>
          <w:rFonts w:ascii="Times New Roman"/>
          <w:b w:val="false"/>
          <w:i w:val="false"/>
          <w:color w:val="000000"/>
          <w:sz w:val="28"/>
        </w:rPr>
        <w:t>
      40. Если лекарственная форма с модифицированным высвобождением подлежит введению пациентам, ранее получавшим лекарственную форму с обычным высвобождением (например, в случае смены формы дозирования или переключения) для поддержания равновесной концентрации необходимо предусмотреть специальные инструкции по применению такой смены дозирования или в ходе переключения.</w:t>
      </w:r>
    </w:p>
    <w:bookmarkEnd w:id="415"/>
    <w:bookmarkStart w:name="z431" w:id="416"/>
    <w:p>
      <w:pPr>
        <w:spacing w:after="0"/>
        <w:ind w:left="0"/>
        <w:jc w:val="left"/>
      </w:pPr>
      <w:r>
        <w:rPr>
          <w:rFonts w:ascii="Times New Roman"/>
          <w:b/>
          <w:i w:val="false"/>
          <w:color w:val="000000"/>
        </w:rPr>
        <w:t xml:space="preserve"> Дозы и дозировки, подлежащие исследованию</w:t>
      </w:r>
    </w:p>
    <w:bookmarkEnd w:id="416"/>
    <w:bookmarkStart w:name="z432" w:id="417"/>
    <w:p>
      <w:pPr>
        <w:spacing w:after="0"/>
        <w:ind w:left="0"/>
        <w:jc w:val="both"/>
      </w:pPr>
      <w:r>
        <w:rPr>
          <w:rFonts w:ascii="Times New Roman"/>
          <w:b w:val="false"/>
          <w:i w:val="false"/>
          <w:color w:val="000000"/>
          <w:sz w:val="28"/>
        </w:rPr>
        <w:t>
      41. Если действующее вещество и лекарственная форма с модифицированным высвобождением проявляют линейные фармакокинетические свойства, достаточно сравнить лекарственную форму с модифицированным высвобождением и лекарственную форму с обычным высвобождением после однократного введения и в случае накопления действующего вещества после многократного введения одной величины дозы.</w:t>
      </w:r>
    </w:p>
    <w:bookmarkEnd w:id="417"/>
    <w:bookmarkStart w:name="z433" w:id="418"/>
    <w:p>
      <w:pPr>
        <w:spacing w:after="0"/>
        <w:ind w:left="0"/>
        <w:jc w:val="both"/>
      </w:pPr>
      <w:r>
        <w:rPr>
          <w:rFonts w:ascii="Times New Roman"/>
          <w:b w:val="false"/>
          <w:i w:val="false"/>
          <w:color w:val="000000"/>
          <w:sz w:val="28"/>
        </w:rPr>
        <w:t>
      42. Если действующее вещество и лекарственная форма с модифицированным высвобождением проявляют нелинейную фармакокинетику (в терапевтическом диапазоне плазменной концентрации), необходимо сравнить лекарственную форму с модифицированным высвобождением и лекарственную форму с обычным высвобождением как минимум в наибольшей и наименьшей дозах. Если лекарственные формы с модифицированным и обычным высвобождением проявляют различную степень нелинейности, при необходимости можно сравнить их дополнительные дозировки.</w:t>
      </w:r>
    </w:p>
    <w:bookmarkEnd w:id="418"/>
    <w:bookmarkStart w:name="z434" w:id="419"/>
    <w:p>
      <w:pPr>
        <w:spacing w:after="0"/>
        <w:ind w:left="0"/>
        <w:jc w:val="left"/>
      </w:pPr>
      <w:r>
        <w:rPr>
          <w:rFonts w:ascii="Times New Roman"/>
          <w:b/>
          <w:i w:val="false"/>
          <w:color w:val="000000"/>
        </w:rPr>
        <w:t xml:space="preserve"> 2. Исследования вариабельности фармакокинетических параметров</w:t>
      </w:r>
    </w:p>
    <w:bookmarkEnd w:id="419"/>
    <w:bookmarkStart w:name="z435" w:id="420"/>
    <w:p>
      <w:pPr>
        <w:spacing w:after="0"/>
        <w:ind w:left="0"/>
        <w:jc w:val="both"/>
      </w:pPr>
      <w:r>
        <w:rPr>
          <w:rFonts w:ascii="Times New Roman"/>
          <w:b w:val="false"/>
          <w:i w:val="false"/>
          <w:color w:val="000000"/>
          <w:sz w:val="28"/>
        </w:rPr>
        <w:t>
      43. В исследованиях с однократным и многократным введением доз, описанных в настоящем подразделе, необходимо определить межиндивидуальную вариабельность фармакокинетических параметров, представляющих интерес, и сравнить по этому критерию лекарственные формы с модифицированным и обычным высвобождением. Предпочтительно, чтобы вариабельность для лекарственной формы с модифицированным высвобождением не превышала вариабельность для лекарственной формы с обычным высвобождением, если только это превышение вариабельности не обосновано с точки зрения потенциальных клинических последствий.</w:t>
      </w:r>
    </w:p>
    <w:bookmarkEnd w:id="420"/>
    <w:bookmarkStart w:name="z436" w:id="421"/>
    <w:p>
      <w:pPr>
        <w:spacing w:after="0"/>
        <w:ind w:left="0"/>
        <w:jc w:val="left"/>
      </w:pPr>
      <w:r>
        <w:rPr>
          <w:rFonts w:ascii="Times New Roman"/>
          <w:b/>
          <w:i w:val="false"/>
          <w:color w:val="000000"/>
        </w:rPr>
        <w:t xml:space="preserve"> 3. Исследование пропорциональности дозировок</w:t>
      </w:r>
    </w:p>
    <w:bookmarkEnd w:id="421"/>
    <w:bookmarkStart w:name="z437" w:id="422"/>
    <w:p>
      <w:pPr>
        <w:spacing w:after="0"/>
        <w:ind w:left="0"/>
        <w:jc w:val="both"/>
      </w:pPr>
      <w:r>
        <w:rPr>
          <w:rFonts w:ascii="Times New Roman"/>
          <w:b w:val="false"/>
          <w:i w:val="false"/>
          <w:color w:val="000000"/>
          <w:sz w:val="28"/>
        </w:rPr>
        <w:t>
      44. При наличии нескольких дозировок или возможности одновременного приема нескольких единиц лекарственной формы с модифицированным высвобождением в целях достижения желаемой дозы необходимо исследовать пропорциональность различных дозировок или принимаемых доз лекарственной формы с модифицированным высвобождением. Пропорциональность дозы необходимо оценить с помощью исследования с однократным и в случае накопления действующего вещества с многократным введением доз, в которых после коррекции дозы сравниваются представляющие интерес фармакокинетические параметры всех дозировок (доз). В этом случае не применимы основанные на AUC и 25 % диапазоне приемлемости критерии пропорциональности дозы, приведенные в Правилах проведения исследований биоэквивалентности, поскольку они применимы лишь к выбору дозировки в исследованиях биоэквивалентности.</w:t>
      </w:r>
    </w:p>
    <w:bookmarkEnd w:id="422"/>
    <w:bookmarkStart w:name="z438" w:id="423"/>
    <w:p>
      <w:pPr>
        <w:spacing w:after="0"/>
        <w:ind w:left="0"/>
        <w:jc w:val="left"/>
      </w:pPr>
      <w:r>
        <w:rPr>
          <w:rFonts w:ascii="Times New Roman"/>
          <w:b/>
          <w:i w:val="false"/>
          <w:color w:val="000000"/>
        </w:rPr>
        <w:t xml:space="preserve"> 4. Основные факторы, влияющие на функциональные </w:t>
      </w:r>
      <w:r>
        <w:br/>
      </w:r>
      <w:r>
        <w:rPr>
          <w:rFonts w:ascii="Times New Roman"/>
          <w:b/>
          <w:i w:val="false"/>
          <w:color w:val="000000"/>
        </w:rPr>
        <w:t xml:space="preserve">характеристики лекарственного препарата </w:t>
      </w:r>
      <w:r>
        <w:br/>
      </w:r>
      <w:r>
        <w:rPr>
          <w:rFonts w:ascii="Times New Roman"/>
          <w:b/>
          <w:i w:val="false"/>
          <w:color w:val="000000"/>
        </w:rPr>
        <w:t>с модифицированным высвобождением</w:t>
      </w:r>
    </w:p>
    <w:bookmarkEnd w:id="423"/>
    <w:bookmarkStart w:name="z439" w:id="424"/>
    <w:p>
      <w:pPr>
        <w:spacing w:after="0"/>
        <w:ind w:left="0"/>
        <w:jc w:val="left"/>
      </w:pPr>
      <w:r>
        <w:rPr>
          <w:rFonts w:ascii="Times New Roman"/>
          <w:b/>
          <w:i w:val="false"/>
          <w:color w:val="000000"/>
        </w:rPr>
        <w:t xml:space="preserve"> Пища</w:t>
      </w:r>
    </w:p>
    <w:bookmarkEnd w:id="424"/>
    <w:bookmarkStart w:name="z440" w:id="425"/>
    <w:p>
      <w:pPr>
        <w:spacing w:after="0"/>
        <w:ind w:left="0"/>
        <w:jc w:val="both"/>
      </w:pPr>
      <w:r>
        <w:rPr>
          <w:rFonts w:ascii="Times New Roman"/>
          <w:b w:val="false"/>
          <w:i w:val="false"/>
          <w:color w:val="000000"/>
          <w:sz w:val="28"/>
        </w:rPr>
        <w:t>
      45. В фармакокинетическом исследовании с однократным введением дозы необходимо исследовать влияние пищи на биодоступность лекарственных форм с модифицированным высвобождением. Оптимальные экспериментальные условия для моделирования воздействия пищи на биодоступность лекарственных форм включают прием заранее определенной высококалорийной пищи с высоким содержанием жира непосредственно перед приемом лекарственного препарата. Рекомендуется, чтобы субъекты начали принимать пищу за 30 минут до приема лекарственного препарата и заканчивали прием пищи в течение 30 минут. Меню для однократного приема пищи должно обеспечивать:</w:t>
      </w:r>
    </w:p>
    <w:bookmarkEnd w:id="425"/>
    <w:bookmarkStart w:name="z441" w:id="426"/>
    <w:p>
      <w:pPr>
        <w:spacing w:after="0"/>
        <w:ind w:left="0"/>
        <w:jc w:val="both"/>
      </w:pPr>
      <w:r>
        <w:rPr>
          <w:rFonts w:ascii="Times New Roman"/>
          <w:b w:val="false"/>
          <w:i w:val="false"/>
          <w:color w:val="000000"/>
          <w:sz w:val="28"/>
        </w:rPr>
        <w:t>
      повышенное поступление жиров (приблизительно 50 % от общего содержания калорий в суточном рационе);</w:t>
      </w:r>
    </w:p>
    <w:bookmarkEnd w:id="426"/>
    <w:bookmarkStart w:name="z442" w:id="427"/>
    <w:p>
      <w:pPr>
        <w:spacing w:after="0"/>
        <w:ind w:left="0"/>
        <w:jc w:val="both"/>
      </w:pPr>
      <w:r>
        <w:rPr>
          <w:rFonts w:ascii="Times New Roman"/>
          <w:b w:val="false"/>
          <w:i w:val="false"/>
          <w:color w:val="000000"/>
          <w:sz w:val="28"/>
        </w:rPr>
        <w:t>
      высокую калорийность (от 800 до 1000 килокалорий);</w:t>
      </w:r>
    </w:p>
    <w:bookmarkEnd w:id="427"/>
    <w:bookmarkStart w:name="z443" w:id="428"/>
    <w:p>
      <w:pPr>
        <w:spacing w:after="0"/>
        <w:ind w:left="0"/>
        <w:jc w:val="both"/>
      </w:pPr>
      <w:r>
        <w:rPr>
          <w:rFonts w:ascii="Times New Roman"/>
          <w:b w:val="false"/>
          <w:i w:val="false"/>
          <w:color w:val="000000"/>
          <w:sz w:val="28"/>
        </w:rPr>
        <w:t>
      поступление 150 килокалорий за счет потребления белков, 250 килокалорий за счет потребления углеводов и 500 – 600 килокалорий за счет потребления жиров.</w:t>
      </w:r>
    </w:p>
    <w:bookmarkEnd w:id="428"/>
    <w:bookmarkStart w:name="z444" w:id="429"/>
    <w:p>
      <w:pPr>
        <w:spacing w:after="0"/>
        <w:ind w:left="0"/>
        <w:jc w:val="both"/>
      </w:pPr>
      <w:r>
        <w:rPr>
          <w:rFonts w:ascii="Times New Roman"/>
          <w:b w:val="false"/>
          <w:i w:val="false"/>
          <w:color w:val="000000"/>
          <w:sz w:val="28"/>
        </w:rPr>
        <w:t>
      Необходимо описать в отчете об исследовании состав пищи на предмет содержания в ней белков, углеводов и жиров в граммах, указать абсолютное и относительное (в процентах) содержание калорий.</w:t>
      </w:r>
    </w:p>
    <w:bookmarkEnd w:id="429"/>
    <w:bookmarkStart w:name="z445" w:id="430"/>
    <w:p>
      <w:pPr>
        <w:spacing w:after="0"/>
        <w:ind w:left="0"/>
        <w:jc w:val="both"/>
      </w:pPr>
      <w:r>
        <w:rPr>
          <w:rFonts w:ascii="Times New Roman"/>
          <w:b w:val="false"/>
          <w:i w:val="false"/>
          <w:color w:val="000000"/>
          <w:sz w:val="28"/>
        </w:rPr>
        <w:t>
      46. Планирование проведения исследования влияния пищи на функциональные характеристики лекарственной формы с модифицированным высвобождением зависит от других проведенных исследований, в которых сравнивалась лекарственная форма с модифицированным высвобождением с лекарственной формой с обычным высвобождением, а также от наличия клинически значимого влияния пищи на лекарственную форму с обычным высвобождением.</w:t>
      </w:r>
    </w:p>
    <w:bookmarkEnd w:id="430"/>
    <w:bookmarkStart w:name="z446" w:id="431"/>
    <w:p>
      <w:pPr>
        <w:spacing w:after="0"/>
        <w:ind w:left="0"/>
        <w:jc w:val="both"/>
      </w:pPr>
      <w:r>
        <w:rPr>
          <w:rFonts w:ascii="Times New Roman"/>
          <w:b w:val="false"/>
          <w:i w:val="false"/>
          <w:color w:val="000000"/>
          <w:sz w:val="28"/>
        </w:rPr>
        <w:t>
      47. Если пища не оказывает клинически значимого влияния на лекарственную форму с обычным высвобождением, достаточно провести двойное перекрестное сравнительное исследование лекарственной формы с модифицированным высвобождением натощак и после приема пищи при условии, что в остальных фармакокинетических исследованиях сравнивали лекарственную форму с модифицированным высвобождением с лекарственной формой с обычным высвобождением натощак.</w:t>
      </w:r>
    </w:p>
    <w:bookmarkEnd w:id="431"/>
    <w:bookmarkStart w:name="z447" w:id="432"/>
    <w:p>
      <w:pPr>
        <w:spacing w:after="0"/>
        <w:ind w:left="0"/>
        <w:jc w:val="both"/>
      </w:pPr>
      <w:r>
        <w:rPr>
          <w:rFonts w:ascii="Times New Roman"/>
          <w:b w:val="false"/>
          <w:i w:val="false"/>
          <w:color w:val="000000"/>
          <w:sz w:val="28"/>
        </w:rPr>
        <w:t>
      48. При наличии клинически значимого влияния пищи на лекарственную форму с модифицированным высвобождением для количественного определения влияния пищи на каждую лекарственную форму целесообразно провести перекрестное фармакокинетическое исследование в 4 группах и сравнить лекарственную форму с модифицированным высвобождением натощак и после приема пищи и лекарственную форму с обычным высвобождением натощак и после приема пищи.</w:t>
      </w:r>
    </w:p>
    <w:bookmarkEnd w:id="432"/>
    <w:bookmarkStart w:name="z448" w:id="433"/>
    <w:p>
      <w:pPr>
        <w:spacing w:after="0"/>
        <w:ind w:left="0"/>
        <w:jc w:val="both"/>
      </w:pPr>
      <w:r>
        <w:rPr>
          <w:rFonts w:ascii="Times New Roman"/>
          <w:b w:val="false"/>
          <w:i w:val="false"/>
          <w:color w:val="000000"/>
          <w:sz w:val="28"/>
        </w:rPr>
        <w:t>
      49. При наличии нескольких дозировок лекарственной формы с модифицированным высвобождением влияние пищи на биофармацевтические характеристики лекарственной формы может быть исследовано для одной из дозировок, только при выполнении всех следующих условий:</w:t>
      </w:r>
    </w:p>
    <w:bookmarkEnd w:id="433"/>
    <w:bookmarkStart w:name="z449" w:id="434"/>
    <w:p>
      <w:pPr>
        <w:spacing w:after="0"/>
        <w:ind w:left="0"/>
        <w:jc w:val="both"/>
      </w:pPr>
      <w:r>
        <w:rPr>
          <w:rFonts w:ascii="Times New Roman"/>
          <w:b w:val="false"/>
          <w:i w:val="false"/>
          <w:color w:val="000000"/>
          <w:sz w:val="28"/>
        </w:rPr>
        <w:t>
      дозировки пропорциональны по составу (например, являются многоединичными лекарственными формами или пропорциональными по составу таблетками);</w:t>
      </w:r>
    </w:p>
    <w:bookmarkEnd w:id="434"/>
    <w:bookmarkStart w:name="z450" w:id="435"/>
    <w:p>
      <w:pPr>
        <w:spacing w:after="0"/>
        <w:ind w:left="0"/>
        <w:jc w:val="both"/>
      </w:pPr>
      <w:r>
        <w:rPr>
          <w:rFonts w:ascii="Times New Roman"/>
          <w:b w:val="false"/>
          <w:i w:val="false"/>
          <w:color w:val="000000"/>
          <w:sz w:val="28"/>
        </w:rPr>
        <w:t>
      дозировки имеют аналогичный процесс производства;</w:t>
      </w:r>
    </w:p>
    <w:bookmarkEnd w:id="435"/>
    <w:bookmarkStart w:name="z451" w:id="436"/>
    <w:p>
      <w:pPr>
        <w:spacing w:after="0"/>
        <w:ind w:left="0"/>
        <w:jc w:val="both"/>
      </w:pPr>
      <w:r>
        <w:rPr>
          <w:rFonts w:ascii="Times New Roman"/>
          <w:b w:val="false"/>
          <w:i w:val="false"/>
          <w:color w:val="000000"/>
          <w:sz w:val="28"/>
        </w:rPr>
        <w:t>
      дозировки имеют линейную фармакокинетику;</w:t>
      </w:r>
    </w:p>
    <w:bookmarkEnd w:id="436"/>
    <w:bookmarkStart w:name="z452" w:id="437"/>
    <w:p>
      <w:pPr>
        <w:spacing w:after="0"/>
        <w:ind w:left="0"/>
        <w:jc w:val="both"/>
      </w:pPr>
      <w:r>
        <w:rPr>
          <w:rFonts w:ascii="Times New Roman"/>
          <w:b w:val="false"/>
          <w:i w:val="false"/>
          <w:color w:val="000000"/>
          <w:sz w:val="28"/>
        </w:rPr>
        <w:t>
      профили растворения каждой дозировки лекарственной формы с модифицированным высвобождением аналогичны в ряде сред для растворения.</w:t>
      </w:r>
    </w:p>
    <w:bookmarkEnd w:id="437"/>
    <w:bookmarkStart w:name="z453" w:id="438"/>
    <w:p>
      <w:pPr>
        <w:spacing w:after="0"/>
        <w:ind w:left="0"/>
        <w:jc w:val="both"/>
      </w:pPr>
      <w:r>
        <w:rPr>
          <w:rFonts w:ascii="Times New Roman"/>
          <w:b w:val="false"/>
          <w:i w:val="false"/>
          <w:color w:val="000000"/>
          <w:sz w:val="28"/>
        </w:rPr>
        <w:t>
      Если в программе разработки не представлено обоснование выбора иной дозировки для исследования, то исследование с изучением влияния пищи на высвобождение действующего вещества необходимо проводить с наибольшей дозировкой в линейке лекарственной формы с модифицированным высвобождением.</w:t>
      </w:r>
    </w:p>
    <w:bookmarkEnd w:id="438"/>
    <w:bookmarkStart w:name="z454" w:id="439"/>
    <w:p>
      <w:pPr>
        <w:spacing w:after="0"/>
        <w:ind w:left="0"/>
        <w:jc w:val="both"/>
      </w:pPr>
      <w:r>
        <w:rPr>
          <w:rFonts w:ascii="Times New Roman"/>
          <w:b w:val="false"/>
          <w:i w:val="false"/>
          <w:color w:val="000000"/>
          <w:sz w:val="28"/>
        </w:rPr>
        <w:t>
      В случае если условия указанные выше не выполняются, необходимо исследовать влияние пищи на высвобождение действующего вещества для наибольшей и наименьшей дозировок или провести исследование с применением метода выбора крайних вариантов (bracketing).</w:t>
      </w:r>
    </w:p>
    <w:bookmarkEnd w:id="439"/>
    <w:bookmarkStart w:name="z455" w:id="440"/>
    <w:p>
      <w:pPr>
        <w:spacing w:after="0"/>
        <w:ind w:left="0"/>
        <w:jc w:val="both"/>
      </w:pPr>
      <w:r>
        <w:rPr>
          <w:rFonts w:ascii="Times New Roman"/>
          <w:b w:val="false"/>
          <w:i w:val="false"/>
          <w:color w:val="000000"/>
          <w:sz w:val="28"/>
        </w:rPr>
        <w:t>
      50. При выполнении оценки влияния пищи на высвобождение действующего вещества, кроме расчета AUC и C</w:t>
      </w:r>
      <w:r>
        <w:rPr>
          <w:rFonts w:ascii="Times New Roman"/>
          <w:b w:val="false"/>
          <w:i w:val="false"/>
          <w:color w:val="000000"/>
          <w:vertAlign w:val="subscript"/>
        </w:rPr>
        <w:t>max</w:t>
      </w:r>
      <w:r>
        <w:rPr>
          <w:rFonts w:ascii="Times New Roman"/>
          <w:b w:val="false"/>
          <w:i w:val="false"/>
          <w:color w:val="000000"/>
          <w:sz w:val="28"/>
        </w:rPr>
        <w:t>, следует также сравнить качественные характеристики модифицированного высвобождения действующего вещества путем проверки подобия формы профилей "концентрация – время" для всей линейки дозировок лекарственной формы и подтвердить несущественность их изменения.</w:t>
      </w:r>
    </w:p>
    <w:bookmarkEnd w:id="440"/>
    <w:bookmarkStart w:name="z456" w:id="441"/>
    <w:p>
      <w:pPr>
        <w:spacing w:after="0"/>
        <w:ind w:left="0"/>
        <w:jc w:val="both"/>
      </w:pPr>
      <w:r>
        <w:rPr>
          <w:rFonts w:ascii="Times New Roman"/>
          <w:b w:val="false"/>
          <w:i w:val="false"/>
          <w:color w:val="000000"/>
          <w:sz w:val="28"/>
        </w:rPr>
        <w:t>
      51. Необходимо проанализировать насколько клинически значимым является влияние пищи на высвобождение действующего вещества лекарственной формы с модифицированным высвобождением по отношению к изменению ее безопасности и эффективности. При необходимости, в информации о лекарственном препарате приводятся рекомендации по приему лекарственного препарата по отношению к приему пищи. Для обоснования рекомендаций по дозированию лекарственного препарата могут потребоваться проведение дополнительных исследований с другим видом пищи или при приеме лекарственного препарата в определенные интервалы времени до и после приема пищи.</w:t>
      </w:r>
    </w:p>
    <w:bookmarkEnd w:id="441"/>
    <w:bookmarkStart w:name="z457" w:id="442"/>
    <w:p>
      <w:pPr>
        <w:spacing w:after="0"/>
        <w:ind w:left="0"/>
        <w:jc w:val="both"/>
      </w:pPr>
      <w:r>
        <w:rPr>
          <w:rFonts w:ascii="Times New Roman"/>
          <w:b w:val="false"/>
          <w:i w:val="false"/>
          <w:color w:val="000000"/>
          <w:sz w:val="28"/>
        </w:rPr>
        <w:t>
      52. Если в период разработки лекарственного препарата состав и (или) процесс его производства изменяются таким образом, что это может потенциально изменить характеристики высвобождения действующего вещества, то может потребоваться повторение оценки влияния пищи на высвобождение действующего вещества из такой измененной лекарственной формы лекарственного препарата.</w:t>
      </w:r>
    </w:p>
    <w:bookmarkEnd w:id="442"/>
    <w:bookmarkStart w:name="z458" w:id="443"/>
    <w:p>
      <w:pPr>
        <w:spacing w:after="0"/>
        <w:ind w:left="0"/>
        <w:jc w:val="both"/>
      </w:pPr>
      <w:r>
        <w:rPr>
          <w:rFonts w:ascii="Times New Roman"/>
          <w:b w:val="false"/>
          <w:i w:val="false"/>
          <w:color w:val="000000"/>
          <w:sz w:val="28"/>
        </w:rPr>
        <w:t xml:space="preserve">
      53. В информации о лекарственном препарате некоторых многоединичных лекарственных форм может быть указано, что такой препарат может вскрываться и пеллеты (гранулы), например, могут приниматься с мягкими видами пищи, диспергироваться в стакане негазированной воды и проглатываться без разжевывания или вводиться через желудочный зонд. Для добавления информации о подобном дополнительном способе введения лекарственного препарата необходимо провести дополнительные испытания на стабильность и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подтверждающие эквивалентность невскрытой и вскрытой лекарственных форм. Необходимо обосновать отсутствие исследований биоэквивалентности, имитирующих дополнительные способы введения.</w:t>
      </w:r>
    </w:p>
    <w:bookmarkEnd w:id="443"/>
    <w:bookmarkStart w:name="z459" w:id="444"/>
    <w:p>
      <w:pPr>
        <w:spacing w:after="0"/>
        <w:ind w:left="0"/>
        <w:jc w:val="left"/>
      </w:pPr>
      <w:r>
        <w:rPr>
          <w:rFonts w:ascii="Times New Roman"/>
          <w:b/>
          <w:i w:val="false"/>
          <w:color w:val="000000"/>
        </w:rPr>
        <w:t xml:space="preserve"> Функция желудочно-кишечного тракта</w:t>
      </w:r>
    </w:p>
    <w:bookmarkEnd w:id="444"/>
    <w:bookmarkStart w:name="z460" w:id="445"/>
    <w:p>
      <w:pPr>
        <w:spacing w:after="0"/>
        <w:ind w:left="0"/>
        <w:jc w:val="both"/>
      </w:pPr>
      <w:r>
        <w:rPr>
          <w:rFonts w:ascii="Times New Roman"/>
          <w:b w:val="false"/>
          <w:i w:val="false"/>
          <w:color w:val="000000"/>
          <w:sz w:val="28"/>
        </w:rPr>
        <w:t>
      54. Если лекарственный препарат с модифицированным высвобождением для приема внутрь предполагается применять совместно с другими лекарственными препаратами, влияющими на функции желудочно-кишечного тракта (например, опиоидами), необходимо исследовать функциональные характеристики лекарственной формы с модифицированным высвобождением для приема внутрь в условиях совместного применения с другими лекарственными препаратами.</w:t>
      </w:r>
    </w:p>
    <w:bookmarkEnd w:id="445"/>
    <w:bookmarkStart w:name="z461" w:id="446"/>
    <w:p>
      <w:pPr>
        <w:spacing w:after="0"/>
        <w:ind w:left="0"/>
        <w:jc w:val="both"/>
      </w:pPr>
      <w:r>
        <w:rPr>
          <w:rFonts w:ascii="Times New Roman"/>
          <w:b w:val="false"/>
          <w:i w:val="false"/>
          <w:color w:val="000000"/>
          <w:sz w:val="28"/>
        </w:rPr>
        <w:t>
      55. Если лекарственный препарат с модифицированным высвобождением для приема внутрь предназначен для применения у пациентов с заболеваниями, сопровождающимися выраженными нарушениями функции желудочно-кишечного тракта, то биофармацевтические свойства такого лекарственного препарата должны быть дополнительно изучены у этой группы пациентов.</w:t>
      </w:r>
    </w:p>
    <w:bookmarkEnd w:id="446"/>
    <w:bookmarkStart w:name="z462" w:id="447"/>
    <w:p>
      <w:pPr>
        <w:spacing w:after="0"/>
        <w:ind w:left="0"/>
        <w:jc w:val="left"/>
      </w:pPr>
      <w:r>
        <w:rPr>
          <w:rFonts w:ascii="Times New Roman"/>
          <w:b/>
          <w:i w:val="false"/>
          <w:color w:val="000000"/>
        </w:rPr>
        <w:t xml:space="preserve"> Непредвиденные характеристики высвобождения</w:t>
      </w:r>
    </w:p>
    <w:bookmarkEnd w:id="447"/>
    <w:bookmarkStart w:name="z463" w:id="448"/>
    <w:p>
      <w:pPr>
        <w:spacing w:after="0"/>
        <w:ind w:left="0"/>
        <w:jc w:val="both"/>
      </w:pPr>
      <w:r>
        <w:rPr>
          <w:rFonts w:ascii="Times New Roman"/>
          <w:b w:val="false"/>
          <w:i w:val="false"/>
          <w:color w:val="000000"/>
          <w:sz w:val="28"/>
        </w:rPr>
        <w:t>
      56. Быстрое непредвиденное высвобождение всего количества или значительной части действующего вещества, содержащегося в лекарственной форме с модифицированным высвобождением называют быстрым высвобождением дозы (сбросом дозы). В зависимости от показания к применению и терапевтического диапазона действующего вещества лекарственного препарата быстрое высвобождение дозы может создавать существенный риск для пациентов в виду снижения безопасности и (или) уменьшения эффективности такого лекарственного препарата.</w:t>
      </w:r>
    </w:p>
    <w:bookmarkEnd w:id="448"/>
    <w:bookmarkStart w:name="z464" w:id="449"/>
    <w:p>
      <w:pPr>
        <w:spacing w:after="0"/>
        <w:ind w:left="0"/>
        <w:jc w:val="both"/>
      </w:pPr>
      <w:r>
        <w:rPr>
          <w:rFonts w:ascii="Times New Roman"/>
          <w:b w:val="false"/>
          <w:i w:val="false"/>
          <w:color w:val="000000"/>
          <w:sz w:val="28"/>
        </w:rPr>
        <w:t>
      57. Необходимо исключить риск возникновения непредвиденного высвобождения, приводящего к непредусмотренной экспозиции лекарственных форм с модифицированным высвобождением. Если наблюдается более высокая максимальная экспозиция лекарственного препарата с несоответствующим профилем модифицированного высвобождения или предполагается быстрое высвобождение дозы действующего вещества (например, отсутствие концентрации нестабильного действующего вещества в лекарственной форме, устойчивой в кислой среде желудка у некоторых субъектов исследования), необходимо доработать состав и (или) доработать метод производства лекарственного препарата для предотвращения такого биофармацевтического недостатка лекарственной формы.</w:t>
      </w:r>
    </w:p>
    <w:bookmarkEnd w:id="449"/>
    <w:bookmarkStart w:name="z465" w:id="450"/>
    <w:p>
      <w:pPr>
        <w:spacing w:after="0"/>
        <w:ind w:left="0"/>
        <w:jc w:val="both"/>
      </w:pPr>
      <w:r>
        <w:rPr>
          <w:rFonts w:ascii="Times New Roman"/>
          <w:b w:val="false"/>
          <w:i w:val="false"/>
          <w:color w:val="000000"/>
          <w:sz w:val="28"/>
        </w:rPr>
        <w:t>
      58. Более высокая максимальная экспозиция может наблюдаться у лекарственных препаратов с пролонгированным высвобождением вследствие высвобождения действующего вещества в желудке в течение более продолжительного периода времени (например, при замедленном опорожнении желудка) с последующей абсорбцией высвобожденной дозы действующего вещества только после опорожнения содержимого желудка. Поскольку такое непредвиденное повышение экспозиции действующего вещества лекарственного препарата не обусловлено ненадлежащим качеством этого лекарственного препарата, приводящим к неконтролируемому высвобождению, то во избежание длительного нахождения лекарственного препарата в желудке необходимо дать рекомендации по дозированию этого лекарственного препарата, например, по соотношению с приемом пищи.</w:t>
      </w:r>
    </w:p>
    <w:bookmarkEnd w:id="450"/>
    <w:bookmarkStart w:name="z466" w:id="451"/>
    <w:p>
      <w:pPr>
        <w:spacing w:after="0"/>
        <w:ind w:left="0"/>
        <w:jc w:val="left"/>
      </w:pPr>
      <w:r>
        <w:rPr>
          <w:rFonts w:ascii="Times New Roman"/>
          <w:b/>
          <w:i w:val="false"/>
          <w:color w:val="000000"/>
        </w:rPr>
        <w:t xml:space="preserve"> Влияние алкоголя</w:t>
      </w:r>
    </w:p>
    <w:bookmarkEnd w:id="451"/>
    <w:bookmarkStart w:name="z467" w:id="452"/>
    <w:p>
      <w:pPr>
        <w:spacing w:after="0"/>
        <w:ind w:left="0"/>
        <w:jc w:val="both"/>
      </w:pPr>
      <w:r>
        <w:rPr>
          <w:rFonts w:ascii="Times New Roman"/>
          <w:b w:val="false"/>
          <w:i w:val="false"/>
          <w:color w:val="000000"/>
          <w:sz w:val="28"/>
        </w:rPr>
        <w:t xml:space="preserve">
      59. Некоторые лекарственные формы с модифицированным высвобождением для приема внутрь содержат действующие и (или) вспомогательные вещества, которые лучше растворимы в спиртовых растворах, чем в воде. Одновременное употребление алкогольных напитков и таких лекарственных препаратов может привести к быстрому высвобождению дозы действующего вещества. Для таких лекарственных форм необходимо провести исследования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спиртовых растворах. Если в течение короткого времени при высоких или низких концентрациях спирта или продолжительного времени при низких концентрациях спирта отмечается ускоренное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необходимо изменить состав и (или) метод производства лекарственной формы. Только при наличии обоснования того, что взаимодействие действующего вещества лекарственного препарата с алкоголем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невозможно предотвратить изменением состава и (или) метода производства лекарственной формы, обоснование отсутствия такого взаимодействия с алкоголем для лекарственного препарата разрешается проводить в виде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w:t>
      </w:r>
    </w:p>
    <w:bookmarkEnd w:id="452"/>
    <w:bookmarkStart w:name="z468" w:id="453"/>
    <w:p>
      <w:pPr>
        <w:spacing w:after="0"/>
        <w:ind w:left="0"/>
        <w:jc w:val="both"/>
      </w:pPr>
      <w:r>
        <w:rPr>
          <w:rFonts w:ascii="Times New Roman"/>
          <w:b w:val="false"/>
          <w:i w:val="false"/>
          <w:color w:val="000000"/>
          <w:sz w:val="28"/>
        </w:rPr>
        <w:t xml:space="preserve">
      60. При проведении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индуцированного алкоголем быстрого высвобождения дозы действующего вещества из лекарственного препарата необходимо сравнить системную экспозицию этого действующего вещества в условиях, когда лекарственный препарат с модифицированным высвобождением принимается человеком натощак совместно с заранее определенной дозой алкогольного напитка. В отчете по результатам исследования необходимо представить оценку клинической значимости изменения группового среднего значения системной экспозиции, а также клинической значимости наблюдаемых индивидуальных отношений системной экспозиции действующего вещества лекарственного препарата при его приеме совместно с алкоголем и без алкоголя у каждого из субъектов исследования.</w:t>
      </w:r>
    </w:p>
    <w:bookmarkEnd w:id="453"/>
    <w:bookmarkStart w:name="z469" w:id="454"/>
    <w:p>
      <w:pPr>
        <w:spacing w:after="0"/>
        <w:ind w:left="0"/>
        <w:jc w:val="both"/>
      </w:pPr>
      <w:r>
        <w:rPr>
          <w:rFonts w:ascii="Times New Roman"/>
          <w:b w:val="false"/>
          <w:i w:val="false"/>
          <w:color w:val="000000"/>
          <w:sz w:val="28"/>
        </w:rPr>
        <w:t xml:space="preserve">
      61. Если высока вероятность существенного быстрого высвобождения дозы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которую невозможно избежать путем изменения состава и (или) метода производства лекарственной формы, необходимо тщательно оценить соотношение "польза – риск" лекарственного препарата. Информация об ограничении употребления алкоголя в противопоказаниях к применению лекарственного препарата не является надлежащей мерой предотвращения взаимодействия лекарственного препарата с алкоголем. Информация о виде взаимодействия лекарственного препарата с алкоголем и должна быть указана в информации о лекарственном препарате (если такое взаимодействие приводит к клинически значимому потенцированию эффекта или вредному суммарному эффекту). В информации о лекарственном препарате также должны быть указаны иные меры предосторожности, связанные с приемом спиртосодержащих продуктов. При формировании регистрационного досье такого лекарственного препарата в его состав должны быть включены результаты анализа различных стратегий управления рисками, связанных с предотвращением нежелательного взаимодействия лекарственного препарата с алкоголем.</w:t>
      </w:r>
    </w:p>
    <w:bookmarkEnd w:id="454"/>
    <w:bookmarkStart w:name="z470" w:id="455"/>
    <w:p>
      <w:pPr>
        <w:spacing w:after="0"/>
        <w:ind w:left="0"/>
        <w:jc w:val="left"/>
      </w:pPr>
      <w:r>
        <w:rPr>
          <w:rFonts w:ascii="Times New Roman"/>
          <w:b/>
          <w:i w:val="false"/>
          <w:color w:val="000000"/>
        </w:rPr>
        <w:t xml:space="preserve"> 5. Прочие факторы, влияющие на функциональные характеристики лекарственной формы с модифицированным высвобождением</w:t>
      </w:r>
    </w:p>
    <w:bookmarkEnd w:id="455"/>
    <w:bookmarkStart w:name="z471" w:id="456"/>
    <w:p>
      <w:pPr>
        <w:spacing w:after="0"/>
        <w:ind w:left="0"/>
        <w:jc w:val="left"/>
      </w:pPr>
      <w:r>
        <w:rPr>
          <w:rFonts w:ascii="Times New Roman"/>
          <w:b/>
          <w:i w:val="false"/>
          <w:color w:val="000000"/>
        </w:rPr>
        <w:t xml:space="preserve"> Применение лекарственного препарата</w:t>
      </w:r>
      <w:r>
        <w:br/>
      </w:r>
      <w:r>
        <w:rPr>
          <w:rFonts w:ascii="Times New Roman"/>
          <w:b/>
          <w:i w:val="false"/>
          <w:color w:val="000000"/>
        </w:rPr>
        <w:t>у особых групп пациентов</w:t>
      </w:r>
    </w:p>
    <w:bookmarkEnd w:id="456"/>
    <w:bookmarkStart w:name="z472" w:id="457"/>
    <w:p>
      <w:pPr>
        <w:spacing w:after="0"/>
        <w:ind w:left="0"/>
        <w:jc w:val="both"/>
      </w:pPr>
      <w:r>
        <w:rPr>
          <w:rFonts w:ascii="Times New Roman"/>
          <w:b w:val="false"/>
          <w:i w:val="false"/>
          <w:color w:val="000000"/>
          <w:sz w:val="28"/>
        </w:rPr>
        <w:t>
      62. При разработке лекарственных препаратов с модифицированным высвобождением для приема внутрь 1 раз в день необходимо принимать во внимание различные физиологические факторы (например, время прохождения пищи по желудочно-кишечному тракту, значение рН, частота приема пищи и вид пищи) у пациентов, не употребляющих пищу животного происхождения, детей и пациентов пожилого возраста, а также пациентов, регулярно принимающих антациды.</w:t>
      </w:r>
    </w:p>
    <w:bookmarkEnd w:id="457"/>
    <w:bookmarkStart w:name="z473" w:id="458"/>
    <w:p>
      <w:pPr>
        <w:spacing w:after="0"/>
        <w:ind w:left="0"/>
        <w:jc w:val="left"/>
      </w:pPr>
      <w:r>
        <w:rPr>
          <w:rFonts w:ascii="Times New Roman"/>
          <w:b/>
          <w:i w:val="false"/>
          <w:color w:val="000000"/>
        </w:rPr>
        <w:t xml:space="preserve"> Влияние места введения (нанесения) лекарственного препарата на концентрацию действующего вещества в плазме</w:t>
      </w:r>
    </w:p>
    <w:bookmarkEnd w:id="458"/>
    <w:bookmarkStart w:name="z474" w:id="459"/>
    <w:p>
      <w:pPr>
        <w:spacing w:after="0"/>
        <w:ind w:left="0"/>
        <w:jc w:val="both"/>
      </w:pPr>
      <w:r>
        <w:rPr>
          <w:rFonts w:ascii="Times New Roman"/>
          <w:b w:val="false"/>
          <w:i w:val="false"/>
          <w:color w:val="000000"/>
          <w:sz w:val="28"/>
        </w:rPr>
        <w:t>
      63. Если у лекарственного препарата с модифицированным высвобождением предполагается несколько путей введения или он может наноситься на различные области тела человека, то в состав регистрационного досье следует включить результаты изучения абсорбции действующего вещества при различных путях введения таких лекарственных препаратов, а также при предлагаемых в общей характеристике лекарственного препарата местах выполнения инъекции или аппликации пластырей. Для каждого места введения или аппликации лекарственного препарата с модифицированным высвобождением необходимо оценить безопасность и переносимость применения лекарственного препарата.</w:t>
      </w:r>
    </w:p>
    <w:bookmarkEnd w:id="459"/>
    <w:bookmarkStart w:name="z475" w:id="460"/>
    <w:p>
      <w:pPr>
        <w:spacing w:after="0"/>
        <w:ind w:left="0"/>
        <w:jc w:val="both"/>
      </w:pPr>
      <w:r>
        <w:rPr>
          <w:rFonts w:ascii="Times New Roman"/>
          <w:b w:val="false"/>
          <w:i w:val="false"/>
          <w:color w:val="000000"/>
          <w:sz w:val="28"/>
        </w:rPr>
        <w:t>
      64. Необходимо представить в регистрационном досье результаты исследований, подтверждающие что для лекарственных препаратов в лекарственных формах модифицированного высвобождения с подкожным (внутримышечным) путями введения и пластырей трансдермальных концентрации действующего вещества в плазме остаются в терапевтическом диапазоне перед очередным введением лекарственного препарата (аппликацией пластыря трансдермального), а также привести результаты изучения снижения концентрации действующего вещества лекарственного препарата в плазме крови, после удаления лекарственного препарата из подкожного (внутримышечного депо) или удаления пластыря трансдермального.</w:t>
      </w:r>
    </w:p>
    <w:bookmarkEnd w:id="460"/>
    <w:bookmarkStart w:name="z476" w:id="461"/>
    <w:p>
      <w:pPr>
        <w:spacing w:after="0"/>
        <w:ind w:left="0"/>
        <w:jc w:val="left"/>
      </w:pPr>
      <w:r>
        <w:rPr>
          <w:rFonts w:ascii="Times New Roman"/>
          <w:b/>
          <w:i w:val="false"/>
          <w:color w:val="000000"/>
        </w:rPr>
        <w:t xml:space="preserve"> Многофазное высвобождение действующего вещества</w:t>
      </w:r>
      <w:r>
        <w:br/>
      </w:r>
      <w:r>
        <w:rPr>
          <w:rFonts w:ascii="Times New Roman"/>
          <w:b/>
          <w:i w:val="false"/>
          <w:color w:val="000000"/>
        </w:rPr>
        <w:t>лекарственного препарата с модифицированным высвобождением</w:t>
      </w:r>
    </w:p>
    <w:bookmarkEnd w:id="461"/>
    <w:bookmarkStart w:name="z477" w:id="462"/>
    <w:p>
      <w:pPr>
        <w:spacing w:after="0"/>
        <w:ind w:left="0"/>
        <w:jc w:val="both"/>
      </w:pPr>
      <w:r>
        <w:rPr>
          <w:rFonts w:ascii="Times New Roman"/>
          <w:b w:val="false"/>
          <w:i w:val="false"/>
          <w:color w:val="000000"/>
          <w:sz w:val="28"/>
        </w:rPr>
        <w:t xml:space="preserve">
      65. Существуют лекарственные препараты с модифицированным высвобождением, которые были разработаны исключительно для того, чтобы при их однократном приеме воспроизвести высвобождение действующего вещества соответствующее схеме дозирования обычного лекарственного препарата в 3 или 4 приема в сутки. Для таких лекарственных препаратов с модифицированным высвобождением профиль "плазменная концентрация действующего вещества – время" после однократного применения в сутки должен быть эквивалентным профилю высвобождения действующего вещества из лекарственного препарата в лекарственной форме с обычным высвобождением, примененному в обычном режиме дозирования в течение суток. </w:t>
      </w:r>
      <w:r>
        <w:br/>
      </w:r>
      <w:r>
        <w:rPr>
          <w:rFonts w:ascii="Times New Roman"/>
          <w:b w:val="false"/>
          <w:i w:val="false"/>
          <w:color w:val="000000"/>
          <w:sz w:val="28"/>
        </w:rPr>
        <w:t>В случае неэквивалентности данных профилей "плазменная концентрация действующего вещества – время" требуется подтвердить дополнительными клиническими данными сопоставимую эффективность и (или) безопасность лекарственного препарата с модифицированным высвобождением и лекарственного препарата в обычной лекарственной форме.</w:t>
      </w:r>
    </w:p>
    <w:bookmarkEnd w:id="462"/>
    <w:bookmarkStart w:name="z478" w:id="463"/>
    <w:p>
      <w:pPr>
        <w:spacing w:after="0"/>
        <w:ind w:left="0"/>
        <w:jc w:val="left"/>
      </w:pPr>
      <w:r>
        <w:rPr>
          <w:rFonts w:ascii="Times New Roman"/>
          <w:b/>
          <w:i w:val="false"/>
          <w:color w:val="000000"/>
        </w:rPr>
        <w:t xml:space="preserve"> Увеличение времени нахождения</w:t>
      </w:r>
      <w:r>
        <w:br/>
      </w:r>
      <w:r>
        <w:rPr>
          <w:rFonts w:ascii="Times New Roman"/>
          <w:b/>
          <w:i w:val="false"/>
          <w:color w:val="000000"/>
        </w:rPr>
        <w:t>лекарственного препарата в желудке</w:t>
      </w:r>
    </w:p>
    <w:bookmarkEnd w:id="463"/>
    <w:bookmarkStart w:name="z479" w:id="464"/>
    <w:p>
      <w:pPr>
        <w:spacing w:after="0"/>
        <w:ind w:left="0"/>
        <w:jc w:val="both"/>
      </w:pPr>
      <w:r>
        <w:rPr>
          <w:rFonts w:ascii="Times New Roman"/>
          <w:b w:val="false"/>
          <w:i w:val="false"/>
          <w:color w:val="000000"/>
          <w:sz w:val="28"/>
        </w:rPr>
        <w:t>
      66. Опорожнение желудка от лекарственного препарата в одноединичной лекарственной формы, которая не распадается в желудке, может быть более медленным или различаться по времени от приема к приему препарата. Для лекарственных препаратов с кишечнорастворимым покрытием лекарственной формы и отсроченным высвобождением это приводит к непредсказуемым последствиям. Если лекарственный препарата содержит кислоточувствительное действующее вещество, и его высвобождение происходит до опорожнения желудка, то это может привести к деградации действующего вещества с образованием профилей "плазменная концентрация – время", которые не отражают реальный процесс абсорбции и элиминации действующего вещества лекарственного препарата. Кроме того, высвобождение действующего вещества может значительно замедляться вследствие длительного нахождения в желудке. Поэтому период времени отбора образцов в исследованиях должен быть подобран таким образом, чтобы он позволял:</w:t>
      </w:r>
    </w:p>
    <w:bookmarkEnd w:id="464"/>
    <w:bookmarkStart w:name="z480" w:id="465"/>
    <w:p>
      <w:pPr>
        <w:spacing w:after="0"/>
        <w:ind w:left="0"/>
        <w:jc w:val="both"/>
      </w:pPr>
      <w:r>
        <w:rPr>
          <w:rFonts w:ascii="Times New Roman"/>
          <w:b w:val="false"/>
          <w:i w:val="false"/>
          <w:color w:val="000000"/>
          <w:sz w:val="28"/>
        </w:rPr>
        <w:t>
      получить измеряемые концентрации действующего вещества (с учетом не только периода полувыведения действующего вещества, но и возможного возникновения этого эффекта);</w:t>
      </w:r>
    </w:p>
    <w:bookmarkEnd w:id="465"/>
    <w:bookmarkStart w:name="z481" w:id="466"/>
    <w:p>
      <w:pPr>
        <w:spacing w:after="0"/>
        <w:ind w:left="0"/>
        <w:jc w:val="both"/>
      </w:pPr>
      <w:r>
        <w:rPr>
          <w:rFonts w:ascii="Times New Roman"/>
          <w:b w:val="false"/>
          <w:i w:val="false"/>
          <w:color w:val="000000"/>
          <w:sz w:val="28"/>
        </w:rPr>
        <w:t>
      описать в отчете об исследовании влияние замедленного опорожнения желудка на процесс высвобождения действующего вещества из лекарственного препарата с модифицированным высвобождением.</w:t>
      </w:r>
    </w:p>
    <w:bookmarkEnd w:id="466"/>
    <w:bookmarkStart w:name="z482" w:id="467"/>
    <w:p>
      <w:pPr>
        <w:spacing w:after="0"/>
        <w:ind w:left="0"/>
        <w:jc w:val="left"/>
      </w:pPr>
      <w:r>
        <w:rPr>
          <w:rFonts w:ascii="Times New Roman"/>
          <w:b/>
          <w:i w:val="false"/>
          <w:color w:val="000000"/>
        </w:rPr>
        <w:t xml:space="preserve"> 6. Терапевтические исследования лекарственных</w:t>
      </w:r>
      <w:r>
        <w:br/>
      </w:r>
      <w:r>
        <w:rPr>
          <w:rFonts w:ascii="Times New Roman"/>
          <w:b/>
          <w:i w:val="false"/>
          <w:color w:val="000000"/>
        </w:rPr>
        <w:t>препаратов с модифицированным высвобождением</w:t>
      </w:r>
    </w:p>
    <w:bookmarkEnd w:id="467"/>
    <w:bookmarkStart w:name="z483" w:id="468"/>
    <w:p>
      <w:pPr>
        <w:spacing w:after="0"/>
        <w:ind w:left="0"/>
        <w:jc w:val="both"/>
      </w:pPr>
      <w:r>
        <w:rPr>
          <w:rFonts w:ascii="Times New Roman"/>
          <w:b w:val="false"/>
          <w:i w:val="false"/>
          <w:color w:val="000000"/>
          <w:sz w:val="28"/>
        </w:rPr>
        <w:t>
      67. Если разработка лекарственных форм с модифицированным высвобождением выполняется после разработки лекарственной формы с обычным высвобождением и в программе разработке и регистрационном досье лекарственных препаратов с модифицированным высвобождением не представлено надлежащее обоснование отказа от проведения сравнительных исследований, в дополнение к фармакокинетическим данным, необходимо представить данные сравнительной клинической эффективности и безопасности лекарственного препарата. Поскольку эффективность и безопасность лекарственных препаратов в лекарственной форме с обычным высвобождением известны, основной задачей такого сравнения клинической эффективности и безопасности двух лекарственных форм является подтверждение того, что новая лекарственная форма с модифицированным высвобождением так же безопасна и эффективна, как и зарегистрированная лекарственная форма немодифицированного высвобождения. В программе разработки и регистрационном досье необходимо представить сведения и данные подтверждающие или обосновывающие дополнительные заявленные преимущества лекарственной формы модифицированного высвобождения.</w:t>
      </w:r>
    </w:p>
    <w:bookmarkEnd w:id="468"/>
    <w:bookmarkStart w:name="z484" w:id="469"/>
    <w:p>
      <w:pPr>
        <w:spacing w:after="0"/>
        <w:ind w:left="0"/>
        <w:jc w:val="both"/>
      </w:pPr>
      <w:r>
        <w:rPr>
          <w:rFonts w:ascii="Times New Roman"/>
          <w:b w:val="false"/>
          <w:i w:val="false"/>
          <w:color w:val="000000"/>
          <w:sz w:val="28"/>
        </w:rPr>
        <w:t>
      68. В исключительных случаях если оценка зависимости "концентрация – эффект" указывает на то, что существует четкая зависимость между плазменной концентрацией действующего вещества (активного метаболита (метаболитов)) и клиническим ответом, клинические исследования допускается не проводить. В этом случае подтвердить ту же или улучшенную степень эффективности и безопасности можно результатами фармакокинетическо-фармакодинамических исследований.</w:t>
      </w:r>
    </w:p>
    <w:bookmarkEnd w:id="469"/>
    <w:bookmarkStart w:name="z485" w:id="470"/>
    <w:p>
      <w:pPr>
        <w:spacing w:after="0"/>
        <w:ind w:left="0"/>
        <w:jc w:val="both"/>
      </w:pPr>
      <w:r>
        <w:rPr>
          <w:rFonts w:ascii="Times New Roman"/>
          <w:b w:val="false"/>
          <w:i w:val="false"/>
          <w:color w:val="000000"/>
          <w:sz w:val="28"/>
        </w:rPr>
        <w:t>
      69. При оценке фармакокинетическо-фармакодинамической зависимости для лекарственных препаратов с модифицированным высвобождением необходимо оценить различия во влиянии на эффективность и безопасность лекарственного препарата в данной лекарственной форме и в обычной (немодифицированной) лекарственной форме, обусловленные различиями в скорости абсорбции действующего вещества и флуктуациях концентрации действующего вещества. Необходимо установить зависимость "концентрация – эффект" и определить статистическую и клиническую значимость различий между профилями "равновесная концентрация – время" для режима применения лекарственного препарата с модифицированным высвобождением и для режима применения зарегистрированного лекарственного препарата в лекарственной форме с обычным высвобождением. Необходимо также исследовать переносимость терапевтических и токсических эффектов, обусловленных экспозицией, концентрацией, скоростью абсорбции и флуктуацией действующего вещества.</w:t>
      </w:r>
    </w:p>
    <w:bookmarkEnd w:id="470"/>
    <w:bookmarkStart w:name="z486" w:id="471"/>
    <w:p>
      <w:pPr>
        <w:spacing w:after="0"/>
        <w:ind w:left="0"/>
        <w:jc w:val="left"/>
      </w:pPr>
      <w:r>
        <w:rPr>
          <w:rFonts w:ascii="Times New Roman"/>
          <w:b/>
          <w:i w:val="false"/>
          <w:color w:val="000000"/>
        </w:rPr>
        <w:t xml:space="preserve"> Отказ от проведения терапевтических исследований</w:t>
      </w:r>
    </w:p>
    <w:bookmarkEnd w:id="471"/>
    <w:bookmarkStart w:name="z487" w:id="472"/>
    <w:p>
      <w:pPr>
        <w:spacing w:after="0"/>
        <w:ind w:left="0"/>
        <w:jc w:val="both"/>
      </w:pPr>
      <w:r>
        <w:rPr>
          <w:rFonts w:ascii="Times New Roman"/>
          <w:b w:val="false"/>
          <w:i w:val="false"/>
          <w:color w:val="000000"/>
          <w:sz w:val="28"/>
        </w:rPr>
        <w:t>
      70. Терапевтические исследования разрешается не проводить, в случае если выполняется по меньшей мере одно из следующих условий:</w:t>
      </w:r>
    </w:p>
    <w:bookmarkEnd w:id="472"/>
    <w:bookmarkStart w:name="z488" w:id="473"/>
    <w:p>
      <w:pPr>
        <w:spacing w:after="0"/>
        <w:ind w:left="0"/>
        <w:jc w:val="both"/>
      </w:pPr>
      <w:r>
        <w:rPr>
          <w:rFonts w:ascii="Times New Roman"/>
          <w:b w:val="false"/>
          <w:i w:val="false"/>
          <w:color w:val="000000"/>
          <w:sz w:val="28"/>
        </w:rPr>
        <w:t>
      а) подтверждена биоэквивалентность референтного и исследуемого препаратов по фармакокинетическим параметрам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vertAlign w:val="subscript"/>
        </w:rPr>
        <w:t>ss</w:t>
      </w:r>
      <w:r>
        <w:rPr>
          <w:rFonts w:ascii="Times New Roman"/>
          <w:b w:val="false"/>
          <w:i w:val="false"/>
          <w:color w:val="000000"/>
          <w:sz w:val="28"/>
        </w:rPr>
        <w:t xml:space="preserve"> 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для нового лекарственного препарата с модифицированным высвобождением разработанного с целью имитации функциональных характеристик лекарственного препарата с другим механизмом высвобождения и его режима дозирования (например, в лекарственной форме с пульсирующим многофазным высвобождением, содержащей пеллеты (гранулы) с различным временем высвобождения);</w:t>
      </w:r>
    </w:p>
    <w:bookmarkEnd w:id="473"/>
    <w:bookmarkStart w:name="z489" w:id="474"/>
    <w:p>
      <w:pPr>
        <w:spacing w:after="0"/>
        <w:ind w:left="0"/>
        <w:jc w:val="both"/>
      </w:pPr>
      <w:r>
        <w:rPr>
          <w:rFonts w:ascii="Times New Roman"/>
          <w:b w:val="false"/>
          <w:i w:val="false"/>
          <w:color w:val="000000"/>
          <w:sz w:val="28"/>
        </w:rPr>
        <w:t>
      б) подтверждена биоэквивалентность референтного и исследуемого препаратов по фармакокинетическим параметрам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w:t>
      </w:r>
      <w:r>
        <w:rPr>
          <w:rFonts w:ascii="Times New Roman"/>
          <w:b w:val="false"/>
          <w:i w:val="false"/>
          <w:color w:val="000000"/>
          <w:vertAlign w:val="subscript"/>
        </w:rPr>
        <w:t>ss</w:t>
      </w:r>
      <w:r>
        <w:rPr>
          <w:rFonts w:ascii="Times New Roman"/>
          <w:b w:val="false"/>
          <w:i w:val="false"/>
          <w:color w:val="000000"/>
          <w:sz w:val="28"/>
        </w:rPr>
        <w:t xml:space="preserve"> 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(несмотря на различия в графическом виде профиля "плазменная концентрация – время"), если можно обосновать (на основании анализа зависимости "экспозиция – ответ" и профиля "форма – ответ"), что различие в виде профиля не значимо для эффективности и безопасности лекарственного препарата;</w:t>
      </w:r>
    </w:p>
    <w:bookmarkEnd w:id="474"/>
    <w:bookmarkStart w:name="z490" w:id="475"/>
    <w:p>
      <w:pPr>
        <w:spacing w:after="0"/>
        <w:ind w:left="0"/>
        <w:jc w:val="both"/>
      </w:pPr>
      <w:r>
        <w:rPr>
          <w:rFonts w:ascii="Times New Roman"/>
          <w:b w:val="false"/>
          <w:i w:val="false"/>
          <w:color w:val="000000"/>
          <w:sz w:val="28"/>
        </w:rPr>
        <w:t>
      в) для лекарственного препарата установлено сочетание следующих условий:</w:t>
      </w:r>
    </w:p>
    <w:bookmarkEnd w:id="475"/>
    <w:bookmarkStart w:name="z491" w:id="476"/>
    <w:p>
      <w:pPr>
        <w:spacing w:after="0"/>
        <w:ind w:left="0"/>
        <w:jc w:val="both"/>
      </w:pPr>
      <w:r>
        <w:rPr>
          <w:rFonts w:ascii="Times New Roman"/>
          <w:b w:val="false"/>
          <w:i w:val="false"/>
          <w:color w:val="000000"/>
          <w:sz w:val="28"/>
        </w:rPr>
        <w:t>
      существует четко выраженное терапевтическое окно безопасности и эффективности лекарственного препарата;</w:t>
      </w:r>
    </w:p>
    <w:bookmarkEnd w:id="476"/>
    <w:bookmarkStart w:name="z492" w:id="477"/>
    <w:p>
      <w:pPr>
        <w:spacing w:after="0"/>
        <w:ind w:left="0"/>
        <w:jc w:val="both"/>
      </w:pPr>
      <w:r>
        <w:rPr>
          <w:rFonts w:ascii="Times New Roman"/>
          <w:b w:val="false"/>
          <w:i w:val="false"/>
          <w:color w:val="000000"/>
          <w:sz w:val="28"/>
        </w:rPr>
        <w:t>
      известно, что скорость поступления действующего вещества лекарственного препарата в системный кровоток не влияет на его профиль безопасности и эффективности, а также риск развития толерантности к лекарственному препарату;</w:t>
      </w:r>
    </w:p>
    <w:bookmarkEnd w:id="477"/>
    <w:bookmarkStart w:name="z493" w:id="478"/>
    <w:p>
      <w:pPr>
        <w:spacing w:after="0"/>
        <w:ind w:left="0"/>
        <w:jc w:val="both"/>
      </w:pPr>
      <w:r>
        <w:rPr>
          <w:rFonts w:ascii="Times New Roman"/>
          <w:b w:val="false"/>
          <w:i w:val="false"/>
          <w:color w:val="000000"/>
          <w:sz w:val="28"/>
        </w:rPr>
        <w:t>
      подтверждена биоэквивалентность референтного и исследуемого препаратов по фармакокинетическому параметру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478"/>
    <w:bookmarkStart w:name="z494" w:id="479"/>
    <w:p>
      <w:pPr>
        <w:spacing w:after="0"/>
        <w:ind w:left="0"/>
        <w:jc w:val="both"/>
      </w:pPr>
      <w:r>
        <w:rPr>
          <w:rFonts w:ascii="Times New Roman"/>
          <w:b w:val="false"/>
          <w:i w:val="false"/>
          <w:color w:val="000000"/>
          <w:sz w:val="28"/>
        </w:rPr>
        <w:t>
      установлено, что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xml:space="preserve"> нового лекарственного препарата с модифицированным высвобождением меньше или эквивалентна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xml:space="preserve"> зарегистрированного лекарственного препарата, тогда как и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лекарственного препарата с модифицированным высвобождением выше или эквивалентна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зарегистрированного лекарственного препарата.</w:t>
      </w:r>
    </w:p>
    <w:bookmarkEnd w:id="479"/>
    <w:bookmarkStart w:name="z495" w:id="480"/>
    <w:p>
      <w:pPr>
        <w:spacing w:after="0"/>
        <w:ind w:left="0"/>
        <w:jc w:val="left"/>
      </w:pPr>
      <w:r>
        <w:rPr>
          <w:rFonts w:ascii="Times New Roman"/>
          <w:b/>
          <w:i w:val="false"/>
          <w:color w:val="000000"/>
        </w:rPr>
        <w:t xml:space="preserve"> Планирование терапевтических исследований</w:t>
      </w:r>
    </w:p>
    <w:bookmarkEnd w:id="480"/>
    <w:bookmarkStart w:name="z496" w:id="481"/>
    <w:p>
      <w:pPr>
        <w:spacing w:after="0"/>
        <w:ind w:left="0"/>
        <w:jc w:val="both"/>
      </w:pPr>
      <w:r>
        <w:rPr>
          <w:rFonts w:ascii="Times New Roman"/>
          <w:b w:val="false"/>
          <w:i w:val="false"/>
          <w:color w:val="000000"/>
          <w:sz w:val="28"/>
        </w:rPr>
        <w:t>
      71. Сравнительные исследования лекарственного препарата с модифицированным высвобожденем необходимо надлежащим образом планировать и провести для оценки интенсивности и продолжительности терапевтического эффекта и нежелательных эффектов лекарственного препарата с модифицированным высвобождением по сравнению с зарегистрированным лекарственным препаратом с обычным высвобождением. В исследованиях необходимо установить клинически значимое преимущество нового лекарственного препарата с модифицированным высвобождением по отношению к зарегистрированному лекарственному препарату в лекарственной форме с обычным высвобождением, если заявлены подобные свойства. При планировании исследований необходимо учесть следующие факторы:</w:t>
      </w:r>
    </w:p>
    <w:bookmarkEnd w:id="481"/>
    <w:bookmarkStart w:name="z497" w:id="482"/>
    <w:p>
      <w:pPr>
        <w:spacing w:after="0"/>
        <w:ind w:left="0"/>
        <w:jc w:val="both"/>
      </w:pPr>
      <w:r>
        <w:rPr>
          <w:rFonts w:ascii="Times New Roman"/>
          <w:b w:val="false"/>
          <w:i w:val="false"/>
          <w:color w:val="000000"/>
          <w:sz w:val="28"/>
        </w:rPr>
        <w:t>
      а) при оценке эффективности и безопасности определенных терапевтических классов лекарственных средств предусмотреть выполнение оценки эффектов лекарственного препарата с модифицированным высвобождением в течение 24 часов после приема и, отдельно, в конце интервала между приемом очередной дозы (например, при исследовании анальгетических средств оценку выраженности боли, связанной с потерей фармакологического контроля боли);</w:t>
      </w:r>
    </w:p>
    <w:bookmarkEnd w:id="482"/>
    <w:bookmarkStart w:name="z498" w:id="483"/>
    <w:p>
      <w:pPr>
        <w:spacing w:after="0"/>
        <w:ind w:left="0"/>
        <w:jc w:val="both"/>
      </w:pPr>
      <w:r>
        <w:rPr>
          <w:rFonts w:ascii="Times New Roman"/>
          <w:b w:val="false"/>
          <w:i w:val="false"/>
          <w:color w:val="000000"/>
          <w:sz w:val="28"/>
        </w:rPr>
        <w:t>
      б) при оценке нескольких эффектов лекарственных препаратов, имеющих отличающиеся пороговые дозы:</w:t>
      </w:r>
    </w:p>
    <w:bookmarkEnd w:id="483"/>
    <w:bookmarkStart w:name="z499" w:id="484"/>
    <w:p>
      <w:pPr>
        <w:spacing w:after="0"/>
        <w:ind w:left="0"/>
        <w:jc w:val="both"/>
      </w:pPr>
      <w:r>
        <w:rPr>
          <w:rFonts w:ascii="Times New Roman"/>
          <w:b w:val="false"/>
          <w:i w:val="false"/>
          <w:color w:val="000000"/>
          <w:sz w:val="28"/>
        </w:rPr>
        <w:t>
      терапевтическое действие должно количественно оцениваться на основе фармакодинамических или клинических эффектов лекарственных препаратов, принятых в качестве критериев оценки эффективности для рассматриваемого терапевтического класса лекарственных средств;</w:t>
      </w:r>
    </w:p>
    <w:bookmarkEnd w:id="484"/>
    <w:bookmarkStart w:name="z500" w:id="485"/>
    <w:p>
      <w:pPr>
        <w:spacing w:after="0"/>
        <w:ind w:left="0"/>
        <w:jc w:val="both"/>
      </w:pPr>
      <w:r>
        <w:rPr>
          <w:rFonts w:ascii="Times New Roman"/>
          <w:b w:val="false"/>
          <w:i w:val="false"/>
          <w:color w:val="000000"/>
          <w:sz w:val="28"/>
        </w:rPr>
        <w:t>
      экстраполяция показателей эффективности и безопасности лекарственного препарата с модифицированным высвобождением на неисследованные показания допускается в исключительных случаях (если она надлежащим образом обоснована заявителем) при наличии одинакового механизма действия лекарственного средства в данной группе показаний к применению;</w:t>
      </w:r>
    </w:p>
    <w:bookmarkEnd w:id="485"/>
    <w:bookmarkStart w:name="z501" w:id="486"/>
    <w:p>
      <w:pPr>
        <w:spacing w:after="0"/>
        <w:ind w:left="0"/>
        <w:jc w:val="both"/>
      </w:pPr>
      <w:r>
        <w:rPr>
          <w:rFonts w:ascii="Times New Roman"/>
          <w:b w:val="false"/>
          <w:i w:val="false"/>
          <w:color w:val="000000"/>
          <w:sz w:val="28"/>
        </w:rPr>
        <w:t>
      необходимо выполнить исследования безопасности в случаях, когда пролонгированное терапевтическое действие может ухудшать профиль безопасности лекарственного препарата при длительном применении.</w:t>
      </w:r>
    </w:p>
    <w:bookmarkEnd w:id="486"/>
    <w:bookmarkStart w:name="z502" w:id="487"/>
    <w:p>
      <w:pPr>
        <w:spacing w:after="0"/>
        <w:ind w:left="0"/>
        <w:jc w:val="both"/>
      </w:pPr>
      <w:r>
        <w:rPr>
          <w:rFonts w:ascii="Times New Roman"/>
          <w:b w:val="false"/>
          <w:i w:val="false"/>
          <w:color w:val="000000"/>
          <w:sz w:val="28"/>
        </w:rPr>
        <w:t>
      72. Клинические исследования, в которых устанавливается равенство экспозиций действующего вещества после применения лекарственного препарата с модифицированным высвобождением и лекарственного препарата в лекарственной форме с обычным высвобождением, могут быть проведены для подтверждения не меньшей терапевтической эффективности или эквивалентности лекарственного препарата с модифицированным высвобождением. При планировании и анализе любого вида клинических исследований следует учитывать указания руководства по принципам применения биостатистики в клинических исследованиях, принимаемого Евразийской экономической комиссией.</w:t>
      </w:r>
    </w:p>
    <w:bookmarkEnd w:id="487"/>
    <w:bookmarkStart w:name="z503" w:id="488"/>
    <w:p>
      <w:pPr>
        <w:spacing w:after="0"/>
        <w:ind w:left="0"/>
        <w:jc w:val="both"/>
      </w:pPr>
      <w:r>
        <w:rPr>
          <w:rFonts w:ascii="Times New Roman"/>
          <w:b w:val="false"/>
          <w:i w:val="false"/>
          <w:color w:val="000000"/>
          <w:sz w:val="28"/>
        </w:rPr>
        <w:t>
      73. При сравнении исследуемого лекарственного препарата с модифицированным высвобождением с референтным лекарственным препаратом выбор вида фармакодинамических или клинических исследований (исследование для подтверждения эквивалентности или исследование не меньшей эффективности) определяется исходя из вида оцениваемого эффекта или показателя безопасности. Если эффективность и безопасность лекарственного препарата тесно связаны межу собой, необходимо провести исследования эквивалентности для подтверждения того, что исследуемый эффект находится в пределах границ эквивалентности. Если не предполагается, что безопасность исследуемого лекарственного препарата с модифицированным высвобождением и референтного лекарственного препарата в обычной лекарственной форме будет различаться, то допускается изучить только показатели эффективности, выполнив исследования не меньшей эффективности.</w:t>
      </w:r>
    </w:p>
    <w:bookmarkEnd w:id="488"/>
    <w:bookmarkStart w:name="z504" w:id="489"/>
    <w:p>
      <w:pPr>
        <w:spacing w:after="0"/>
        <w:ind w:left="0"/>
        <w:jc w:val="both"/>
      </w:pPr>
      <w:r>
        <w:rPr>
          <w:rFonts w:ascii="Times New Roman"/>
          <w:b w:val="false"/>
          <w:i w:val="false"/>
          <w:color w:val="000000"/>
          <w:sz w:val="28"/>
        </w:rPr>
        <w:t>
      74. Выбор вида необходимых исследований зависит от следующих факторов:</w:t>
      </w:r>
    </w:p>
    <w:bookmarkEnd w:id="489"/>
    <w:bookmarkStart w:name="z505" w:id="490"/>
    <w:p>
      <w:pPr>
        <w:spacing w:after="0"/>
        <w:ind w:left="0"/>
        <w:jc w:val="both"/>
      </w:pPr>
      <w:r>
        <w:rPr>
          <w:rFonts w:ascii="Times New Roman"/>
          <w:b w:val="false"/>
          <w:i w:val="false"/>
          <w:color w:val="000000"/>
          <w:sz w:val="28"/>
        </w:rPr>
        <w:t>
      возможности определения соответствующих фармакодинамических конечных точек;</w:t>
      </w:r>
    </w:p>
    <w:bookmarkEnd w:id="490"/>
    <w:bookmarkStart w:name="z506" w:id="491"/>
    <w:p>
      <w:pPr>
        <w:spacing w:after="0"/>
        <w:ind w:left="0"/>
        <w:jc w:val="both"/>
      </w:pPr>
      <w:r>
        <w:rPr>
          <w:rFonts w:ascii="Times New Roman"/>
          <w:b w:val="false"/>
          <w:i w:val="false"/>
          <w:color w:val="000000"/>
          <w:sz w:val="28"/>
        </w:rPr>
        <w:t>
      наличия данных о зависимости между фармакодинамическими маркерами и клинической эффективностью лекарственного препарата;</w:t>
      </w:r>
    </w:p>
    <w:bookmarkEnd w:id="491"/>
    <w:bookmarkStart w:name="z507" w:id="492"/>
    <w:p>
      <w:pPr>
        <w:spacing w:after="0"/>
        <w:ind w:left="0"/>
        <w:jc w:val="both"/>
      </w:pPr>
      <w:r>
        <w:rPr>
          <w:rFonts w:ascii="Times New Roman"/>
          <w:b w:val="false"/>
          <w:i w:val="false"/>
          <w:color w:val="000000"/>
          <w:sz w:val="28"/>
        </w:rPr>
        <w:t>
      возможности обеспечить необходимую чувствительность анализа;</w:t>
      </w:r>
    </w:p>
    <w:bookmarkEnd w:id="492"/>
    <w:bookmarkStart w:name="z508" w:id="493"/>
    <w:p>
      <w:pPr>
        <w:spacing w:after="0"/>
        <w:ind w:left="0"/>
        <w:jc w:val="both"/>
      </w:pPr>
      <w:r>
        <w:rPr>
          <w:rFonts w:ascii="Times New Roman"/>
          <w:b w:val="false"/>
          <w:i w:val="false"/>
          <w:color w:val="000000"/>
          <w:sz w:val="28"/>
        </w:rPr>
        <w:t>
      возможности определения границ не меньшей эффективности или границ эквивалентности.</w:t>
      </w:r>
    </w:p>
    <w:bookmarkEnd w:id="493"/>
    <w:bookmarkStart w:name="z509" w:id="494"/>
    <w:p>
      <w:pPr>
        <w:spacing w:after="0"/>
        <w:ind w:left="0"/>
        <w:jc w:val="both"/>
      </w:pPr>
      <w:r>
        <w:rPr>
          <w:rFonts w:ascii="Times New Roman"/>
          <w:b w:val="false"/>
          <w:i w:val="false"/>
          <w:color w:val="000000"/>
          <w:sz w:val="28"/>
        </w:rPr>
        <w:t>
      75. В такие исследования эквивалентности и не меньшей эффективности, дополнительно к приему лекарственного препарата с модифицированным высвобождением и лекарственного препарата в лекарственной форме с обычным высвобождением, может включаться прием препарата плацебо. Включение в исследование периода приема препарата плацебо или лекарственного препарата в меньшей дозе обязательно, если невозможно обеспечить необходимую чувствительность анализа.</w:t>
      </w:r>
    </w:p>
    <w:bookmarkEnd w:id="494"/>
    <w:bookmarkStart w:name="z510" w:id="495"/>
    <w:p>
      <w:pPr>
        <w:spacing w:after="0"/>
        <w:ind w:left="0"/>
        <w:jc w:val="both"/>
      </w:pPr>
      <w:r>
        <w:rPr>
          <w:rFonts w:ascii="Times New Roman"/>
          <w:b w:val="false"/>
          <w:i w:val="false"/>
          <w:color w:val="000000"/>
          <w:sz w:val="28"/>
        </w:rPr>
        <w:t>
      76. В программу клинического исследования и отчет по результатам исследования необходимо дополнительно включить раздел по выбору и обоснованию устанавливаемых границ эквивалентности или не меньшей эффективности независимо от того, основана ли выбранная конечная точка исследования на фармакодинамическом или клиническом показателе.</w:t>
      </w:r>
    </w:p>
    <w:bookmarkEnd w:id="495"/>
    <w:bookmarkStart w:name="z511" w:id="496"/>
    <w:p>
      <w:pPr>
        <w:spacing w:after="0"/>
        <w:ind w:left="0"/>
        <w:jc w:val="both"/>
      </w:pPr>
      <w:r>
        <w:rPr>
          <w:rFonts w:ascii="Times New Roman"/>
          <w:b w:val="false"/>
          <w:i w:val="false"/>
          <w:color w:val="000000"/>
          <w:sz w:val="28"/>
        </w:rPr>
        <w:t>
      77. Если у лекарственного препарата с модифицированным высвобождением имеется показание к применению, отличающееся от показания у лекарственного препарата с обычным высвобождением, в программе клинических исследований необходимо привести оценку соответствия актам, входящим в право Союза, а также современному состоянию научных исследований подобного рода.</w:t>
      </w:r>
    </w:p>
    <w:bookmarkEnd w:id="496"/>
    <w:bookmarkStart w:name="z512" w:id="497"/>
    <w:p>
      <w:pPr>
        <w:spacing w:after="0"/>
        <w:ind w:left="0"/>
        <w:jc w:val="both"/>
      </w:pPr>
      <w:r>
        <w:rPr>
          <w:rFonts w:ascii="Times New Roman"/>
          <w:b w:val="false"/>
          <w:i w:val="false"/>
          <w:color w:val="000000"/>
          <w:sz w:val="28"/>
        </w:rPr>
        <w:t>
      78. Если лекарственный препарат выпускается в форме пластыря с модифицированным высвобождением или в форме инъекционного депо-препарат, необходимо исследовать безопасность его местного применения. Необходимо оценить безопасность остаточных количеств действующего вещества пластыря после его удаления, с точки зрения их потенциального неправильного применения и воздействия окружающую среду (экологические риски).</w:t>
      </w:r>
    </w:p>
    <w:bookmarkEnd w:id="497"/>
    <w:bookmarkStart w:name="z513" w:id="498"/>
    <w:p>
      <w:pPr>
        <w:spacing w:after="0"/>
        <w:ind w:left="0"/>
        <w:jc w:val="both"/>
      </w:pPr>
      <w:r>
        <w:rPr>
          <w:rFonts w:ascii="Times New Roman"/>
          <w:b w:val="false"/>
          <w:i w:val="false"/>
          <w:color w:val="000000"/>
          <w:sz w:val="28"/>
        </w:rPr>
        <w:t>
      79. Заявляемое преимущество лекарственного препарата с модифицированным высвобождением по сравнению с лекарственной формой обычного высвобождения необходимо подтвердить посредством проведения клинических исследований. Планирование таких исследований должно проводиться с учетом указаний научных руководств в соответствующей области медицины.</w:t>
      </w:r>
    </w:p>
    <w:bookmarkEnd w:id="498"/>
    <w:bookmarkStart w:name="z514" w:id="499"/>
    <w:p>
      <w:pPr>
        <w:spacing w:after="0"/>
        <w:ind w:left="0"/>
        <w:jc w:val="both"/>
      </w:pPr>
      <w:r>
        <w:rPr>
          <w:rFonts w:ascii="Times New Roman"/>
          <w:b w:val="false"/>
          <w:i w:val="false"/>
          <w:color w:val="000000"/>
          <w:sz w:val="28"/>
        </w:rPr>
        <w:t>
      80. Если для лекарственного препарата с модифицированным высвобождением заявляется меньшее количество системных нежелательных реакций по сравнению с лекарственным препаратом в лекарственной форме с обычным высвобождением, это необходимо подтвердить соответствующими исследованиями.</w:t>
      </w:r>
    </w:p>
    <w:bookmarkEnd w:id="499"/>
    <w:bookmarkStart w:name="z515" w:id="500"/>
    <w:p>
      <w:pPr>
        <w:spacing w:after="0"/>
        <w:ind w:left="0"/>
        <w:jc w:val="left"/>
      </w:pPr>
      <w:r>
        <w:rPr>
          <w:rFonts w:ascii="Times New Roman"/>
          <w:b/>
          <w:i w:val="false"/>
          <w:color w:val="000000"/>
        </w:rPr>
        <w:t xml:space="preserve"> VI. Лекарственные формы с модифицированным высвобождением, сравниваемые с зарегистрированной лекарственной формой с модифицированным высвобождением</w:t>
      </w:r>
    </w:p>
    <w:bookmarkEnd w:id="500"/>
    <w:bookmarkStart w:name="z516" w:id="501"/>
    <w:p>
      <w:pPr>
        <w:spacing w:after="0"/>
        <w:ind w:left="0"/>
        <w:jc w:val="left"/>
      </w:pPr>
      <w:r>
        <w:rPr>
          <w:rFonts w:ascii="Times New Roman"/>
          <w:b/>
          <w:i w:val="false"/>
          <w:color w:val="000000"/>
        </w:rPr>
        <w:t xml:space="preserve"> 1. Общие положения</w:t>
      </w:r>
    </w:p>
    <w:bookmarkEnd w:id="501"/>
    <w:bookmarkStart w:name="z517" w:id="502"/>
    <w:p>
      <w:pPr>
        <w:spacing w:after="0"/>
        <w:ind w:left="0"/>
        <w:jc w:val="both"/>
      </w:pPr>
      <w:r>
        <w:rPr>
          <w:rFonts w:ascii="Times New Roman"/>
          <w:b w:val="false"/>
          <w:i w:val="false"/>
          <w:color w:val="000000"/>
          <w:sz w:val="28"/>
        </w:rPr>
        <w:t>
      81. В отношении лекарственных форм для приема внутрь рекомендуется проводить исследования их биоэквивалентности путем сравнения 2 аналогичных лекарственных форм (исследуемой и референтной). Воспроизведенный лекарственный препарат с модифицированным высвобождением необходимо сравнить с референтным лекарственным препаратом с модифицированным высвобождением, или с дозировкой референтного лекарственного препарата в лекарственной форме с обычным высвобождением, являющейся расширением линейки дозировок, для которой заявляется биоэквивалентность. Общие указания по разработке программы, проведению, оценке и отчетности об исследованиях биоэквивалентности воспроизведенных лекарственных препаратов, приведенные в основном тексте Правил проведения исследований биоэквивалентности, также применимы к исследованиям биоэквивалентности лекарственных форм с модифицированным высвобождением. Специфические аспекты для лекарственных форм с модифицированным высвобождением, приведены в настоящем разделе.</w:t>
      </w:r>
    </w:p>
    <w:bookmarkEnd w:id="502"/>
    <w:bookmarkStart w:name="z518" w:id="503"/>
    <w:p>
      <w:pPr>
        <w:spacing w:after="0"/>
        <w:ind w:left="0"/>
        <w:jc w:val="both"/>
      </w:pPr>
      <w:r>
        <w:rPr>
          <w:rFonts w:ascii="Times New Roman"/>
          <w:b w:val="false"/>
          <w:i w:val="false"/>
          <w:color w:val="000000"/>
          <w:sz w:val="28"/>
        </w:rPr>
        <w:t xml:space="preserve">
      82. Если 2 препарата в одинаковой лекарственной форме различаются по вспомогательным веществам или механизму, контролирующему высвобождение, их можно признать воспроизведенными, если они биоэквивалентны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после однократного приема натощак и после приема пищи, а также, при необходимости, после многократного введения.</w:t>
      </w:r>
    </w:p>
    <w:bookmarkEnd w:id="503"/>
    <w:bookmarkStart w:name="z519" w:id="504"/>
    <w:p>
      <w:pPr>
        <w:spacing w:after="0"/>
        <w:ind w:left="0"/>
        <w:jc w:val="both"/>
      </w:pPr>
      <w:r>
        <w:rPr>
          <w:rFonts w:ascii="Times New Roman"/>
          <w:b w:val="false"/>
          <w:i w:val="false"/>
          <w:color w:val="000000"/>
          <w:sz w:val="28"/>
        </w:rPr>
        <w:t>
      83. В случае если соблюдены критерии биовейвера для дополнительных дозировок лекарственного препарата с модифицированным высвобождением и подтверждение биоэквивалентности проводится только для одной дозировки лекарственного препарата с модифицированным высвобождением, необходимо выполнить следующий объем исследований:</w:t>
      </w:r>
    </w:p>
    <w:bookmarkEnd w:id="504"/>
    <w:bookmarkStart w:name="z520" w:id="505"/>
    <w:p>
      <w:pPr>
        <w:spacing w:after="0"/>
        <w:ind w:left="0"/>
        <w:jc w:val="both"/>
      </w:pPr>
      <w:r>
        <w:rPr>
          <w:rFonts w:ascii="Times New Roman"/>
          <w:b w:val="false"/>
          <w:i w:val="false"/>
          <w:color w:val="000000"/>
          <w:sz w:val="28"/>
        </w:rPr>
        <w:t>
      а) если фармакокинетика референтного лекарственного препарата с модифицированным высвобождением является линейной, для самой высокой дозировки воспроизведенного лекарственного препарата с модифицированным высвобождением необходимо выполнить исследования с однократным и многократным дозированием;</w:t>
      </w:r>
    </w:p>
    <w:bookmarkEnd w:id="505"/>
    <w:bookmarkStart w:name="z521" w:id="506"/>
    <w:p>
      <w:pPr>
        <w:spacing w:after="0"/>
        <w:ind w:left="0"/>
        <w:jc w:val="both"/>
      </w:pPr>
      <w:r>
        <w:rPr>
          <w:rFonts w:ascii="Times New Roman"/>
          <w:b w:val="false"/>
          <w:i w:val="false"/>
          <w:color w:val="000000"/>
          <w:sz w:val="28"/>
        </w:rPr>
        <w:t>
      б) если фармакокинетика референтного лекарственного препарата с модифицированным высвобождением нелинейная – исследования необходимо проводить с дозировкой, обеспечивающей наибольшую чувствительность метода. Выбор для исследования меньшей дозировки лекарственного препарата может быть обоснован в целях обеспечения безопасности применения лекарственного препарата.</w:t>
      </w:r>
    </w:p>
    <w:bookmarkEnd w:id="506"/>
    <w:bookmarkStart w:name="z522" w:id="507"/>
    <w:p>
      <w:pPr>
        <w:spacing w:after="0"/>
        <w:ind w:left="0"/>
        <w:jc w:val="both"/>
      </w:pPr>
      <w:r>
        <w:rPr>
          <w:rFonts w:ascii="Times New Roman"/>
          <w:b w:val="false"/>
          <w:i w:val="false"/>
          <w:color w:val="000000"/>
          <w:sz w:val="28"/>
        </w:rPr>
        <w:t>
      84. Как правило, исследования воспроизведенного лекарственного препарата с модифицированным высвобождением проводятся с участием здоровых добровольцев. Если для какой-либо из дозировок воспроизведенного лекарственного препарата с модифицированным высвобождением невозможно провести исследования с участием здоровых добровольцев в связи с небезопасностью таких исследований, их выполняют с участием пациентов. При этом предпочтительно провести исследования как с однократным, так и многократным дозированием лекарственного препарата в соответствии с приведенными ниже указаниями. Если проведение исследований с участием пациентов неприемлемо, то такие исследования могут быть заменены исследованиями с многократным дозированием лекарственного препарата с модифицированным высвобождением у здоровых добровольцев.</w:t>
      </w:r>
    </w:p>
    <w:bookmarkEnd w:id="507"/>
    <w:bookmarkStart w:name="z523" w:id="508"/>
    <w:p>
      <w:pPr>
        <w:spacing w:after="0"/>
        <w:ind w:left="0"/>
        <w:jc w:val="both"/>
      </w:pPr>
      <w:r>
        <w:rPr>
          <w:rFonts w:ascii="Times New Roman"/>
          <w:b w:val="false"/>
          <w:i w:val="false"/>
          <w:color w:val="000000"/>
          <w:sz w:val="28"/>
        </w:rPr>
        <w:t>
      85. Если для лекарственного препарата с модифицированным высвобождением выполняются критерии выбора крайних вариантов, для подтверждения биоэквивалентности для 2 дозировок воспроизведенного лекарственного препарата с модифицированным высвобождением, выбранных в качестве крайних вариантов, необходимо:</w:t>
      </w:r>
    </w:p>
    <w:bookmarkEnd w:id="508"/>
    <w:bookmarkStart w:name="z524" w:id="509"/>
    <w:p>
      <w:pPr>
        <w:spacing w:after="0"/>
        <w:ind w:left="0"/>
        <w:jc w:val="both"/>
      </w:pPr>
      <w:r>
        <w:rPr>
          <w:rFonts w:ascii="Times New Roman"/>
          <w:b w:val="false"/>
          <w:i w:val="false"/>
          <w:color w:val="000000"/>
          <w:sz w:val="28"/>
        </w:rPr>
        <w:t>
      провести исследование наибольшей дозировки лекарственного препарата с модифицированным высвобождением с участием пациентов и исследование наименьшей дозировки лекарственного препарата с модифицированным высвобождением – с участием здоровых добровольцев;</w:t>
      </w:r>
    </w:p>
    <w:bookmarkEnd w:id="509"/>
    <w:bookmarkStart w:name="z525" w:id="510"/>
    <w:p>
      <w:pPr>
        <w:spacing w:after="0"/>
        <w:ind w:left="0"/>
        <w:jc w:val="both"/>
      </w:pPr>
      <w:r>
        <w:rPr>
          <w:rFonts w:ascii="Times New Roman"/>
          <w:b w:val="false"/>
          <w:i w:val="false"/>
          <w:color w:val="000000"/>
          <w:sz w:val="28"/>
        </w:rPr>
        <w:t>
      выполнить оценку профилей растворения сравниваемых дозировок лекарственного препарата с модифицированным высвобождением и линейности их фармакокинетических параметров и определить наиболее чувствительную дозировку лекарственного препарата согласно подразделу 7 раздела III Правил проведения исследования биоэквивалентности.</w:t>
      </w:r>
    </w:p>
    <w:bookmarkEnd w:id="510"/>
    <w:bookmarkStart w:name="z526" w:id="511"/>
    <w:p>
      <w:pPr>
        <w:spacing w:after="0"/>
        <w:ind w:left="0"/>
        <w:jc w:val="both"/>
      </w:pPr>
      <w:r>
        <w:rPr>
          <w:rFonts w:ascii="Times New Roman"/>
          <w:b w:val="false"/>
          <w:i w:val="false"/>
          <w:color w:val="000000"/>
          <w:sz w:val="28"/>
        </w:rPr>
        <w:t>
      86. Различия, обнаруженные в рамках исследований лекарственных препаратов, обусловленные взаимодействием лекарственных препаратов с пищей, указывают на различия между этими лекарственными препаратами не позволяющие считать исследуемый лекарственный препарат воспроизведенным по отношению к референтному лекарственному препарату. Если биоэквивалентность лекарственных препаратов подтверждена при его применении в соответствии с условиями, указанными в общей характеристике лекарственного препарата, которые позволяют уменьшить влияние пищи на биофармацевтические свойства лекарственного препарата, но эту биоэквивалентность лекарственных препаратов нельзя подтвердить в условиях приема отличных от условий, указанных в общей характеристике лекарственного препарата, то исследуемый лекарственный препарат не соответствует требованиям, предъявляемым к воспроизведенному лекарственному препарату, но может быть допущен к регистрации в качестве гибридного лекарственного препарата.</w:t>
      </w:r>
    </w:p>
    <w:bookmarkEnd w:id="511"/>
    <w:bookmarkStart w:name="z527" w:id="512"/>
    <w:p>
      <w:pPr>
        <w:spacing w:after="0"/>
        <w:ind w:left="0"/>
        <w:jc w:val="both"/>
      </w:pPr>
      <w:r>
        <w:rPr>
          <w:rFonts w:ascii="Times New Roman"/>
          <w:b w:val="false"/>
          <w:i w:val="false"/>
          <w:color w:val="000000"/>
          <w:sz w:val="28"/>
        </w:rPr>
        <w:t>
      При наличии в программе фармацевтической разработки лекарственного препарата и регистрационном досье лекарственного препарата научного обоснования отказа от проведения части исследований, основанного на данных по оценке влияния различий в составе вспомогательных веществ на биофармацевтические свойства лекарственной формы лекарственного препарата допускается:</w:t>
      </w:r>
    </w:p>
    <w:bookmarkEnd w:id="512"/>
    <w:bookmarkStart w:name="z528" w:id="513"/>
    <w:p>
      <w:pPr>
        <w:spacing w:after="0"/>
        <w:ind w:left="0"/>
        <w:jc w:val="both"/>
      </w:pPr>
      <w:r>
        <w:rPr>
          <w:rFonts w:ascii="Times New Roman"/>
          <w:b w:val="false"/>
          <w:i w:val="false"/>
          <w:color w:val="000000"/>
          <w:sz w:val="28"/>
        </w:rPr>
        <w:t>
      не проводить исследования с многократным дозированием;</w:t>
      </w:r>
    </w:p>
    <w:bookmarkEnd w:id="513"/>
    <w:bookmarkStart w:name="z529" w:id="514"/>
    <w:p>
      <w:pPr>
        <w:spacing w:after="0"/>
        <w:ind w:left="0"/>
        <w:jc w:val="both"/>
      </w:pPr>
      <w:r>
        <w:rPr>
          <w:rFonts w:ascii="Times New Roman"/>
          <w:b w:val="false"/>
          <w:i w:val="false"/>
          <w:color w:val="000000"/>
          <w:sz w:val="28"/>
        </w:rPr>
        <w:t>
      использовать альтернативные подходы к определению диапазона исследуемых дозировок лекарственного препарата;</w:t>
      </w:r>
    </w:p>
    <w:bookmarkEnd w:id="514"/>
    <w:bookmarkStart w:name="z530" w:id="515"/>
    <w:p>
      <w:pPr>
        <w:spacing w:after="0"/>
        <w:ind w:left="0"/>
        <w:jc w:val="both"/>
      </w:pPr>
      <w:r>
        <w:rPr>
          <w:rFonts w:ascii="Times New Roman"/>
          <w:b w:val="false"/>
          <w:i w:val="false"/>
          <w:color w:val="000000"/>
          <w:sz w:val="28"/>
        </w:rPr>
        <w:t>
      использовать альтернативный подход к оценке пропорциональности состава разных дозировок по отношению друг к другу при применении метода выбора крайних вариантов для исследований лекарственного препарата с модифицированным высвобождением.</w:t>
      </w:r>
    </w:p>
    <w:bookmarkEnd w:id="515"/>
    <w:bookmarkStart w:name="z531" w:id="516"/>
    <w:p>
      <w:pPr>
        <w:spacing w:after="0"/>
        <w:ind w:left="0"/>
        <w:jc w:val="both"/>
      </w:pPr>
      <w:r>
        <w:rPr>
          <w:rFonts w:ascii="Times New Roman"/>
          <w:b w:val="false"/>
          <w:i w:val="false"/>
          <w:color w:val="000000"/>
          <w:sz w:val="28"/>
        </w:rPr>
        <w:t>
      При обосновании представленных аргументов заявителю необходимо привести ссылки на положения актов Комиссии, регулирующих вопросы разработки воспроизведенных лекарственных препаратов. Уполномоченные органы (экспертные организации) государств-членов должны выполнять оценку представленных в регистрационном досье лекарственного препарата обоснований с учетом вида лекарственной формы, ее состава и иных факторов, влияющих на биофармацевтические свойства, безопасность, качество и эффективность таких лекарственных препаратов.</w:t>
      </w:r>
    </w:p>
    <w:bookmarkEnd w:id="516"/>
    <w:bookmarkStart w:name="z532" w:id="517"/>
    <w:p>
      <w:pPr>
        <w:spacing w:after="0"/>
        <w:ind w:left="0"/>
        <w:jc w:val="left"/>
      </w:pPr>
      <w:r>
        <w:rPr>
          <w:rFonts w:ascii="Times New Roman"/>
          <w:b/>
          <w:i w:val="false"/>
          <w:color w:val="000000"/>
        </w:rPr>
        <w:t xml:space="preserve"> 2. Условия выполнения оценки биоэквивалентности для лекарственных препаратов с пролонгированным высвобождением для приема внутрь</w:t>
      </w:r>
    </w:p>
    <w:bookmarkEnd w:id="517"/>
    <w:bookmarkStart w:name="z533" w:id="518"/>
    <w:p>
      <w:pPr>
        <w:spacing w:after="0"/>
        <w:ind w:left="0"/>
        <w:jc w:val="both"/>
      </w:pPr>
      <w:r>
        <w:rPr>
          <w:rFonts w:ascii="Times New Roman"/>
          <w:b w:val="false"/>
          <w:i w:val="false"/>
          <w:color w:val="000000"/>
          <w:sz w:val="28"/>
        </w:rPr>
        <w:t>
      87. Биоэквивалентность 2 лекарственных препаратов с пролонгированным высвобождением оценивается в исследованиях, направленных на подтверждение того, что:</w:t>
      </w:r>
    </w:p>
    <w:bookmarkEnd w:id="518"/>
    <w:bookmarkStart w:name="z534" w:id="519"/>
    <w:p>
      <w:pPr>
        <w:spacing w:after="0"/>
        <w:ind w:left="0"/>
        <w:jc w:val="both"/>
      </w:pPr>
      <w:r>
        <w:rPr>
          <w:rFonts w:ascii="Times New Roman"/>
          <w:b w:val="false"/>
          <w:i w:val="false"/>
          <w:color w:val="000000"/>
          <w:sz w:val="28"/>
        </w:rPr>
        <w:t>
      а) исследуемый лекарственный препарат проявляет заявленные характеристики пролонгированного высвобождения референтного лекарственного препарата;</w:t>
      </w:r>
    </w:p>
    <w:bookmarkEnd w:id="519"/>
    <w:bookmarkStart w:name="z535" w:id="520"/>
    <w:p>
      <w:pPr>
        <w:spacing w:after="0"/>
        <w:ind w:left="0"/>
        <w:jc w:val="both"/>
      </w:pPr>
      <w:r>
        <w:rPr>
          <w:rFonts w:ascii="Times New Roman"/>
          <w:b w:val="false"/>
          <w:i w:val="false"/>
          <w:color w:val="000000"/>
          <w:sz w:val="28"/>
        </w:rPr>
        <w:t>
      б) действующее вещество исследуемого лекарственного препарата не высвобождается непредсказуемо (отсутствует быстрое высвобождения дозы);</w:t>
      </w:r>
    </w:p>
    <w:bookmarkEnd w:id="520"/>
    <w:bookmarkStart w:name="z536" w:id="521"/>
    <w:p>
      <w:pPr>
        <w:spacing w:after="0"/>
        <w:ind w:left="0"/>
        <w:jc w:val="both"/>
      </w:pPr>
      <w:r>
        <w:rPr>
          <w:rFonts w:ascii="Times New Roman"/>
          <w:b w:val="false"/>
          <w:i w:val="false"/>
          <w:color w:val="000000"/>
          <w:sz w:val="28"/>
        </w:rPr>
        <w:t>
      в) функциональные характеристики исследуемого и референтного лекарственных препаратов эквивалентны после однократного приема и в равновесном состоянии;</w:t>
      </w:r>
    </w:p>
    <w:bookmarkEnd w:id="521"/>
    <w:bookmarkStart w:name="z537" w:id="522"/>
    <w:p>
      <w:pPr>
        <w:spacing w:after="0"/>
        <w:ind w:left="0"/>
        <w:jc w:val="both"/>
      </w:pPr>
      <w:r>
        <w:rPr>
          <w:rFonts w:ascii="Times New Roman"/>
          <w:b w:val="false"/>
          <w:i w:val="false"/>
          <w:color w:val="000000"/>
          <w:sz w:val="28"/>
        </w:rPr>
        <w:t xml:space="preserve">
      г) в исследовании с однократным дозированием прием пищи оказывает сопоставимое влияние на функциональные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лекарственной формы исследуемого и референтного лекарственных для обоих лекарственных препаратов.</w:t>
      </w:r>
    </w:p>
    <w:bookmarkEnd w:id="522"/>
    <w:bookmarkStart w:name="z538" w:id="523"/>
    <w:p>
      <w:pPr>
        <w:spacing w:after="0"/>
        <w:ind w:left="0"/>
        <w:jc w:val="left"/>
      </w:pPr>
      <w:r>
        <w:rPr>
          <w:rFonts w:ascii="Times New Roman"/>
          <w:b/>
          <w:i w:val="false"/>
          <w:color w:val="000000"/>
        </w:rPr>
        <w:t xml:space="preserve"> 3. Исследования, необходимые для подтверждения биоэквивалентности лекарственных препаратов с модифицированным высвобождением </w:t>
      </w:r>
    </w:p>
    <w:bookmarkEnd w:id="523"/>
    <w:bookmarkStart w:name="z539" w:id="524"/>
    <w:p>
      <w:pPr>
        <w:spacing w:after="0"/>
        <w:ind w:left="0"/>
        <w:jc w:val="both"/>
      </w:pPr>
      <w:r>
        <w:rPr>
          <w:rFonts w:ascii="Times New Roman"/>
          <w:b w:val="false"/>
          <w:i w:val="false"/>
          <w:color w:val="000000"/>
          <w:sz w:val="28"/>
        </w:rPr>
        <w:t>
      88. Для подтверждения биоэквивалентности лекарственных препаратов с модифицированным высвобождением требуются:</w:t>
      </w:r>
    </w:p>
    <w:bookmarkEnd w:id="524"/>
    <w:bookmarkStart w:name="z540" w:id="525"/>
    <w:p>
      <w:pPr>
        <w:spacing w:after="0"/>
        <w:ind w:left="0"/>
        <w:jc w:val="both"/>
      </w:pPr>
      <w:r>
        <w:rPr>
          <w:rFonts w:ascii="Times New Roman"/>
          <w:b w:val="false"/>
          <w:i w:val="false"/>
          <w:color w:val="000000"/>
          <w:sz w:val="28"/>
        </w:rPr>
        <w:t xml:space="preserve">
      а) исследование с однократным дозированием исследуемого и референтного лекарственных препаратов, проводимое натощак; </w:t>
      </w:r>
    </w:p>
    <w:bookmarkEnd w:id="525"/>
    <w:bookmarkStart w:name="z541" w:id="526"/>
    <w:p>
      <w:pPr>
        <w:spacing w:after="0"/>
        <w:ind w:left="0"/>
        <w:jc w:val="both"/>
      </w:pPr>
      <w:r>
        <w:rPr>
          <w:rFonts w:ascii="Times New Roman"/>
          <w:b w:val="false"/>
          <w:i w:val="false"/>
          <w:color w:val="000000"/>
          <w:sz w:val="28"/>
        </w:rPr>
        <w:t>
      б) исследование с однократным дозированием исследуемого и референтного лекарственных препаратов, проводимое после приема очень жирной пищи;</w:t>
      </w:r>
    </w:p>
    <w:bookmarkEnd w:id="526"/>
    <w:bookmarkStart w:name="z542" w:id="527"/>
    <w:p>
      <w:pPr>
        <w:spacing w:after="0"/>
        <w:ind w:left="0"/>
        <w:jc w:val="both"/>
      </w:pPr>
      <w:r>
        <w:rPr>
          <w:rFonts w:ascii="Times New Roman"/>
          <w:b w:val="false"/>
          <w:i w:val="false"/>
          <w:color w:val="000000"/>
          <w:sz w:val="28"/>
        </w:rPr>
        <w:t xml:space="preserve">
      в) исследование c многократным дозированием исследуемого и референтного лекарственных препаратов. </w:t>
      </w:r>
    </w:p>
    <w:bookmarkEnd w:id="527"/>
    <w:bookmarkStart w:name="z543" w:id="528"/>
    <w:p>
      <w:pPr>
        <w:spacing w:after="0"/>
        <w:ind w:left="0"/>
        <w:jc w:val="left"/>
      </w:pPr>
      <w:r>
        <w:rPr>
          <w:rFonts w:ascii="Times New Roman"/>
          <w:b/>
          <w:i w:val="false"/>
          <w:color w:val="000000"/>
        </w:rPr>
        <w:t xml:space="preserve"> Исследования лекарственных препаратов с однократным дозированием</w:t>
      </w:r>
    </w:p>
    <w:bookmarkEnd w:id="528"/>
    <w:bookmarkStart w:name="z544" w:id="529"/>
    <w:p>
      <w:pPr>
        <w:spacing w:after="0"/>
        <w:ind w:left="0"/>
        <w:jc w:val="both"/>
      </w:pPr>
      <w:r>
        <w:rPr>
          <w:rFonts w:ascii="Times New Roman"/>
          <w:b w:val="false"/>
          <w:i w:val="false"/>
          <w:color w:val="000000"/>
          <w:sz w:val="28"/>
        </w:rPr>
        <w:t>
      89. Оценку однократно вводимой дозы исследуемого и референтного лекарственных препаратов натощак и после приема пищи проводят по одной из следующих схем:</w:t>
      </w:r>
    </w:p>
    <w:bookmarkEnd w:id="529"/>
    <w:bookmarkStart w:name="z545" w:id="530"/>
    <w:p>
      <w:pPr>
        <w:spacing w:after="0"/>
        <w:ind w:left="0"/>
        <w:jc w:val="both"/>
      </w:pPr>
      <w:r>
        <w:rPr>
          <w:rFonts w:ascii="Times New Roman"/>
          <w:b w:val="false"/>
          <w:i w:val="false"/>
          <w:color w:val="000000"/>
          <w:sz w:val="28"/>
        </w:rPr>
        <w:t>
      а) выполнение четырехпериодного перекрестного исследования  с 4 взаимодополняющими последовательностями 4 условий применения. Исследуемый и референтный лекарственные препараты необходимо оценить натощак, а также после приема пищи с высоким содержанием жиров в определенное время до приема лекарственного препарата;</w:t>
      </w:r>
    </w:p>
    <w:bookmarkEnd w:id="530"/>
    <w:bookmarkStart w:name="z546" w:id="531"/>
    <w:p>
      <w:pPr>
        <w:spacing w:after="0"/>
        <w:ind w:left="0"/>
        <w:jc w:val="both"/>
      </w:pPr>
      <w:r>
        <w:rPr>
          <w:rFonts w:ascii="Times New Roman"/>
          <w:b w:val="false"/>
          <w:i w:val="false"/>
          <w:color w:val="000000"/>
          <w:sz w:val="28"/>
        </w:rPr>
        <w:t>
      б) выполнение 2 перекрестных исследований однократно вводимой дозы исследуемого и референтного лекарственных препаратов. В первом исследовании необходимо сравнить исследуемый и референтный лекарственные препараты принимаемые натощак. При этом исследуемый и референтный лекарственные препараты вводят в рамках 2 периодов и в 2 последовательностях применения. Во втором исследовании сравнивают исследуемый и референтный лекарственные препараты при приеме пищи с высоким содержанием жира в определенное время перед приемом исследуемого и референтного лекарственных препаратов, а также с приемом исследуемого лекарственного препарата натощак, с целью получения данных о его биодоступности, характеризующих возможное влияние пищи;</w:t>
      </w:r>
    </w:p>
    <w:bookmarkEnd w:id="531"/>
    <w:bookmarkStart w:name="z547" w:id="532"/>
    <w:p>
      <w:pPr>
        <w:spacing w:after="0"/>
        <w:ind w:left="0"/>
        <w:jc w:val="both"/>
      </w:pPr>
      <w:r>
        <w:rPr>
          <w:rFonts w:ascii="Times New Roman"/>
          <w:b w:val="false"/>
          <w:i w:val="false"/>
          <w:color w:val="000000"/>
          <w:sz w:val="28"/>
        </w:rPr>
        <w:t>
      в) выполнение 2 перекрестных исследований в 2 периодах и  с 2 последовательностями применения исследуемого и референтного лекарственных препаратов. Одно исследование необходимо провести натощак. Второе исследование необходимо провести после приема пищи с высоким содержанием жира в определенное время перед приемом исследуемого и референтного лекарственных препаратов.</w:t>
      </w:r>
    </w:p>
    <w:bookmarkEnd w:id="532"/>
    <w:bookmarkStart w:name="z548" w:id="533"/>
    <w:p>
      <w:pPr>
        <w:spacing w:after="0"/>
        <w:ind w:left="0"/>
        <w:jc w:val="left"/>
      </w:pPr>
      <w:r>
        <w:rPr>
          <w:rFonts w:ascii="Times New Roman"/>
          <w:b/>
          <w:i w:val="false"/>
          <w:color w:val="000000"/>
        </w:rPr>
        <w:t xml:space="preserve"> Исследования лекарственных препаратов с многократным дозированием</w:t>
      </w:r>
    </w:p>
    <w:bookmarkEnd w:id="533"/>
    <w:bookmarkStart w:name="z549" w:id="534"/>
    <w:p>
      <w:pPr>
        <w:spacing w:after="0"/>
        <w:ind w:left="0"/>
        <w:jc w:val="both"/>
      </w:pPr>
      <w:r>
        <w:rPr>
          <w:rFonts w:ascii="Times New Roman"/>
          <w:b w:val="false"/>
          <w:i w:val="false"/>
          <w:color w:val="000000"/>
          <w:sz w:val="28"/>
        </w:rPr>
        <w:t>
      90. Исследования с многократным дозированием необходимо провести в случае, если в исследовании с однократным дозированием проведенным с наибольшей дозировкой исследуемого и референтного лекарственных препаратов, не подтверждено,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исследуемого и референтного лекарственных препаратов составляет более 90 % средней AUC</w:t>
      </w:r>
      <w:r>
        <w:rPr>
          <w:rFonts w:ascii="Times New Roman"/>
          <w:b w:val="false"/>
          <w:i w:val="false"/>
          <w:color w:val="000000"/>
          <w:vertAlign w:val="subscript"/>
        </w:rPr>
        <w:t>(0-∞)</w:t>
      </w:r>
      <w:r>
        <w:rPr>
          <w:rFonts w:ascii="Times New Roman"/>
          <w:b w:val="false"/>
          <w:i w:val="false"/>
          <w:color w:val="000000"/>
          <w:sz w:val="28"/>
        </w:rPr>
        <w:t xml:space="preserve"> и ожидается большое накопление в организме действующего вещества (кумуляция). В этом случае биоэквивалентность исследуемого лекарственного препарата необходимо подтвердить с использованием дополнительных параметров, характеризующих форму кривой "плазменная концентрация – время", в исследовании с однократным дозированием. Необходимо исследовать начальную частичную площадь</w:t>
      </w:r>
      <w:r>
        <w:br/>
      </w:r>
      <w:r>
        <w:rPr>
          <w:rFonts w:ascii="Times New Roman"/>
          <w:b w:val="false"/>
          <w:i w:val="false"/>
          <w:color w:val="000000"/>
          <w:sz w:val="28"/>
        </w:rPr>
        <w:t>под фармакокинетической кривой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t</w:t>
      </w:r>
      <w:r>
        <w:rPr>
          <w:rFonts w:ascii="Times New Roman"/>
          <w:b w:val="false"/>
          <w:i w:val="false"/>
          <w:color w:val="000000"/>
          <w:vertAlign w:val="subscript"/>
        </w:rPr>
        <w:t>-отсечения)</w:t>
      </w:r>
      <w:r>
        <w:rPr>
          <w:rFonts w:ascii="Times New Roman"/>
          <w:b w:val="false"/>
          <w:i w:val="false"/>
          <w:color w:val="000000"/>
          <w:sz w:val="28"/>
        </w:rPr>
        <w:t>)</w:t>
      </w:r>
      <w:r>
        <w:br/>
      </w:r>
      <w:r>
        <w:rPr>
          <w:rFonts w:ascii="Times New Roman"/>
          <w:b w:val="false"/>
          <w:i w:val="false"/>
          <w:color w:val="000000"/>
          <w:sz w:val="28"/>
        </w:rPr>
        <w:t>и терминальную частичную площадь под фармакокинетической кривой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-отсечения</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t-последняя)</w:t>
      </w:r>
      <w:r>
        <w:rPr>
          <w:rFonts w:ascii="Times New Roman"/>
          <w:b w:val="false"/>
          <w:i w:val="false"/>
          <w:color w:val="000000"/>
          <w:sz w:val="28"/>
        </w:rPr>
        <w:t>), разделенные заранее выбранной временной точкой отсечения (например, при отсутствии иных научных обоснований в качестве точки отсечения следует использовать величину равную половине интервала дозирования).</w:t>
      </w:r>
    </w:p>
    <w:bookmarkEnd w:id="534"/>
    <w:bookmarkStart w:name="z550" w:id="535"/>
    <w:p>
      <w:pPr>
        <w:spacing w:after="0"/>
        <w:ind w:left="0"/>
        <w:jc w:val="both"/>
      </w:pPr>
      <w:r>
        <w:rPr>
          <w:rFonts w:ascii="Times New Roman"/>
          <w:b w:val="false"/>
          <w:i w:val="false"/>
          <w:color w:val="000000"/>
          <w:sz w:val="28"/>
        </w:rPr>
        <w:t>
      Во всех случаях возникновения накопления (кумуляции)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менее 90 % средней AUC</w:t>
      </w:r>
      <w:r>
        <w:rPr>
          <w:rFonts w:ascii="Times New Roman"/>
          <w:b w:val="false"/>
          <w:i w:val="false"/>
          <w:color w:val="000000"/>
          <w:vertAlign w:val="subscript"/>
        </w:rPr>
        <w:t>(0-∞)</w:t>
      </w:r>
      <w:r>
        <w:rPr>
          <w:rFonts w:ascii="Times New Roman"/>
          <w:b w:val="false"/>
          <w:i w:val="false"/>
          <w:color w:val="000000"/>
          <w:sz w:val="28"/>
        </w:rPr>
        <w:t xml:space="preserve">) требуется проведение исследования с многократным дозированием. Исследования в равновесном состоянии рекомендуется проводить при приеме лекарственного препарата совместно с приемом пищи, в соответствии с общей характеристикой лекарственного препарата для референтного лекарственного препарата. Если в общей характеристике лекарственного препарата указано, что препарат следует принимать после приема пищи, то исследование проводится только после приема пищи (стандартный прием пищи) (включая день определения профиля). Если в общей характеристике лекарственного препарата указано, что препарат следует принимать натощак или независимо от приема пищи, исследования проводятся натощак. Если в исследовании с многократным дозированием применяется прием лекарственных препаратов натощак необходимо смоделировать условия максимально приближенные к реальному режиму приема пищи. Например, утреннее введение исследуемого лекарственного препарата требует выдерживания 10-часового периода голодания, тогда как при остальных режимах введения лекарственных препаратов достаточно соблюсти </w:t>
      </w:r>
      <w:r>
        <w:br/>
      </w:r>
      <w:r>
        <w:rPr>
          <w:rFonts w:ascii="Times New Roman"/>
          <w:b w:val="false"/>
          <w:i w:val="false"/>
          <w:color w:val="000000"/>
          <w:sz w:val="28"/>
        </w:rPr>
        <w:t>4-часовое голодание перед введением. Голодание после каждого введения лекарственных препаратов должно продолжаться, по меньшей мере, 2 часа.</w:t>
      </w:r>
    </w:p>
    <w:bookmarkEnd w:id="535"/>
    <w:bookmarkStart w:name="z551" w:id="536"/>
    <w:p>
      <w:pPr>
        <w:spacing w:after="0"/>
        <w:ind w:left="0"/>
        <w:jc w:val="both"/>
      </w:pPr>
      <w:r>
        <w:rPr>
          <w:rFonts w:ascii="Times New Roman"/>
          <w:b w:val="false"/>
          <w:i w:val="false"/>
          <w:color w:val="000000"/>
          <w:sz w:val="28"/>
        </w:rPr>
        <w:t>
      91. В исследованиях биоэквивалентности при моделировании равновесного состояния организма отмывочный период после приема предшествующего лекарственного препарата может перекрываться периодом роста концентрации после приема последующего лекарственного препарата (прямое переключение), при условии что этот период роста концентрации имеет достаточную продолжительность (равную по меньшей мере 5 терминальным периодам полувыведения). Достижение равновесного состояния организма оценивается путем сравнения по меньшей мере 3 концентраций каждого лекарственного препарата перед его очередным введением. При определении периода приема лекарственного препарата для достижения равновесного состояния организма необходимо также учитывать величину периода полувыведения действующего вещества лекарственного препарата.</w:t>
      </w:r>
    </w:p>
    <w:bookmarkEnd w:id="536"/>
    <w:bookmarkStart w:name="z552" w:id="537"/>
    <w:p>
      <w:pPr>
        <w:spacing w:after="0"/>
        <w:ind w:left="0"/>
        <w:jc w:val="left"/>
      </w:pPr>
      <w:r>
        <w:rPr>
          <w:rFonts w:ascii="Times New Roman"/>
          <w:b/>
          <w:i w:val="false"/>
          <w:color w:val="000000"/>
        </w:rPr>
        <w:t xml:space="preserve"> Исследуемая дозировка (дозировки) лекарственных препаратов с модифицированным высвобождением</w:t>
      </w:r>
    </w:p>
    <w:bookmarkEnd w:id="537"/>
    <w:bookmarkStart w:name="z553" w:id="538"/>
    <w:p>
      <w:pPr>
        <w:spacing w:after="0"/>
        <w:ind w:left="0"/>
        <w:jc w:val="left"/>
      </w:pPr>
      <w:r>
        <w:rPr>
          <w:rFonts w:ascii="Times New Roman"/>
          <w:b/>
          <w:i w:val="false"/>
          <w:color w:val="000000"/>
        </w:rPr>
        <w:t xml:space="preserve"> Одноединичные лекарственные препараты с модифицированным высвобождением</w:t>
      </w:r>
    </w:p>
    <w:bookmarkEnd w:id="538"/>
    <w:bookmarkStart w:name="z554" w:id="539"/>
    <w:p>
      <w:pPr>
        <w:spacing w:after="0"/>
        <w:ind w:left="0"/>
        <w:jc w:val="both"/>
      </w:pPr>
      <w:r>
        <w:rPr>
          <w:rFonts w:ascii="Times New Roman"/>
          <w:b w:val="false"/>
          <w:i w:val="false"/>
          <w:color w:val="000000"/>
          <w:sz w:val="28"/>
        </w:rPr>
        <w:t>
      92. В отношении выбора исследуемых дозировок и условий проведения исследований для одноединичных лекарственных препаратов с несколькими дозировками применяются следующие принципы:</w:t>
      </w:r>
    </w:p>
    <w:bookmarkEnd w:id="539"/>
    <w:bookmarkStart w:name="z555" w:id="540"/>
    <w:p>
      <w:pPr>
        <w:spacing w:after="0"/>
        <w:ind w:left="0"/>
        <w:jc w:val="both"/>
      </w:pPr>
      <w:r>
        <w:rPr>
          <w:rFonts w:ascii="Times New Roman"/>
          <w:b w:val="false"/>
          <w:i w:val="false"/>
          <w:color w:val="000000"/>
          <w:sz w:val="28"/>
        </w:rPr>
        <w:t>
      а) в исследованиях с однократным дозированием – если в общей характеристике референтного лекарственного препарата содержатся указания о приеме натощак или независимо от приема пищи:</w:t>
      </w:r>
    </w:p>
    <w:bookmarkEnd w:id="540"/>
    <w:bookmarkStart w:name="z556" w:id="541"/>
    <w:p>
      <w:pPr>
        <w:spacing w:after="0"/>
        <w:ind w:left="0"/>
        <w:jc w:val="both"/>
      </w:pPr>
      <w:r>
        <w:rPr>
          <w:rFonts w:ascii="Times New Roman"/>
          <w:b w:val="false"/>
          <w:i w:val="false"/>
          <w:color w:val="000000"/>
          <w:sz w:val="28"/>
        </w:rPr>
        <w:t>
      в отношении всех дозировок необходимо исследование с однократным дозированием натощак. Однако при достаточном обосновании разрешен выбор крайних вариантов. В целях обеспечения безопасности здоровых добровольцев исследования необходимо проводить с участием пациентов (вместо здоровых добровольцев), что может потребовать создания условий равновесного состояния;</w:t>
      </w:r>
    </w:p>
    <w:bookmarkEnd w:id="541"/>
    <w:bookmarkStart w:name="z557" w:id="542"/>
    <w:p>
      <w:pPr>
        <w:spacing w:after="0"/>
        <w:ind w:left="0"/>
        <w:jc w:val="both"/>
      </w:pPr>
      <w:r>
        <w:rPr>
          <w:rFonts w:ascii="Times New Roman"/>
          <w:b w:val="false"/>
          <w:i w:val="false"/>
          <w:color w:val="000000"/>
          <w:sz w:val="28"/>
        </w:rPr>
        <w:t xml:space="preserve">
      после приема пищи достаточно провести исследования биоэквивалентности с однократным дозированием наибольшей (наиболее чувствительной) дозировки. Остальные дозировки могут быть освобождены, если соблюдены критерии биовейвера дозировки описанные в подразделе 7 раздела III Правил проведения исследований биоэквивалентности. В случае если дозировки исследуемого лекарственного препарата не соответствуют этим критериям или различные дозировки имеют разную форму, необходимо оценить </w:t>
      </w:r>
      <w:r>
        <w:br/>
      </w:r>
      <w:r>
        <w:rPr>
          <w:rFonts w:ascii="Times New Roman"/>
          <w:b w:val="false"/>
          <w:i w:val="false"/>
          <w:color w:val="000000"/>
          <w:sz w:val="28"/>
        </w:rPr>
        <w:t>2 дозировки, отражающие 2 наиболее крайних варианта, после приема пищи;</w:t>
      </w:r>
    </w:p>
    <w:bookmarkEnd w:id="542"/>
    <w:bookmarkStart w:name="z558" w:id="543"/>
    <w:p>
      <w:pPr>
        <w:spacing w:after="0"/>
        <w:ind w:left="0"/>
        <w:jc w:val="both"/>
      </w:pPr>
      <w:r>
        <w:rPr>
          <w:rFonts w:ascii="Times New Roman"/>
          <w:b w:val="false"/>
          <w:i w:val="false"/>
          <w:color w:val="000000"/>
          <w:sz w:val="28"/>
        </w:rPr>
        <w:t>
      б) в исследованиях с однократным введением дозы – если общая характеристика референтного лекарственного препарата содержит указание о его применении после приема пищи:</w:t>
      </w:r>
    </w:p>
    <w:bookmarkEnd w:id="543"/>
    <w:bookmarkStart w:name="z559" w:id="544"/>
    <w:p>
      <w:pPr>
        <w:spacing w:after="0"/>
        <w:ind w:left="0"/>
        <w:jc w:val="both"/>
      </w:pPr>
      <w:r>
        <w:rPr>
          <w:rFonts w:ascii="Times New Roman"/>
          <w:b w:val="false"/>
          <w:i w:val="false"/>
          <w:color w:val="000000"/>
          <w:sz w:val="28"/>
        </w:rPr>
        <w:t>
      после приема пищи в отношении всех дозировок необходимо провести исследование с однократным дозированием. Однако при обосновании также разрешен выбор крайних вариантов;</w:t>
      </w:r>
    </w:p>
    <w:bookmarkEnd w:id="544"/>
    <w:bookmarkStart w:name="z560" w:id="545"/>
    <w:p>
      <w:pPr>
        <w:spacing w:after="0"/>
        <w:ind w:left="0"/>
        <w:jc w:val="both"/>
      </w:pPr>
      <w:r>
        <w:rPr>
          <w:rFonts w:ascii="Times New Roman"/>
          <w:b w:val="false"/>
          <w:i w:val="false"/>
          <w:color w:val="000000"/>
          <w:sz w:val="28"/>
        </w:rPr>
        <w:t>
      натощак достаточно провести одно исследование биоэквивалентности с однократным дозированием наибольшей (наиболее чувствительной) дозировки. Остальные дозировки могут быть освобождены в случае, если соблюдены критерии биовейвера дозировки, описанные в подразделе 7 раздела III Правил проведения исследований биоэквивалентности. Однако если дозировки исследуемого препарата не соответствуют этим критериям или различные дозировки имеют различную форму, необходимо оценить натощак 2 дозировки, отражающие 2 наиболее крайних варианта.</w:t>
      </w:r>
    </w:p>
    <w:bookmarkEnd w:id="545"/>
    <w:bookmarkStart w:name="z561" w:id="546"/>
    <w:p>
      <w:pPr>
        <w:spacing w:after="0"/>
        <w:ind w:left="0"/>
        <w:jc w:val="both"/>
      </w:pPr>
      <w:r>
        <w:rPr>
          <w:rFonts w:ascii="Times New Roman"/>
          <w:b w:val="false"/>
          <w:i w:val="false"/>
          <w:color w:val="000000"/>
          <w:sz w:val="28"/>
        </w:rPr>
        <w:t>
      93. Исследование с многократным дозированием необходимо провести с наибольшей дозировкой (если только не установлено отсутствие накопления действующего вещества (кумуляции)). В целях обеспечения безопасности исследование необходимо проводить с участием пациентов. Исследования других дозировок разрешается не проводить в случае, если соблюдены критерии биовейвера дозировки, описанные подразделе 7 раздела III Правил проведения исследований биоэквивалентности. При наличии обоснования также допускается выбор крайних вариантов в соответствии с указаниями подраздела 7 раздела III Правил проведения исследований биоэквивалентности.</w:t>
      </w:r>
    </w:p>
    <w:bookmarkEnd w:id="546"/>
    <w:bookmarkStart w:name="z562" w:id="547"/>
    <w:p>
      <w:pPr>
        <w:spacing w:after="0"/>
        <w:ind w:left="0"/>
        <w:jc w:val="left"/>
      </w:pPr>
      <w:r>
        <w:rPr>
          <w:rFonts w:ascii="Times New Roman"/>
          <w:b/>
          <w:i w:val="false"/>
          <w:color w:val="000000"/>
        </w:rPr>
        <w:t xml:space="preserve"> Многоединичные лекарственные препараты с модифицированным высвобождением</w:t>
      </w:r>
    </w:p>
    <w:bookmarkEnd w:id="547"/>
    <w:bookmarkStart w:name="z563" w:id="548"/>
    <w:p>
      <w:pPr>
        <w:spacing w:after="0"/>
        <w:ind w:left="0"/>
        <w:jc w:val="both"/>
      </w:pPr>
      <w:r>
        <w:rPr>
          <w:rFonts w:ascii="Times New Roman"/>
          <w:b w:val="false"/>
          <w:i w:val="false"/>
          <w:color w:val="000000"/>
          <w:sz w:val="28"/>
        </w:rPr>
        <w:t>
      94. В отношении нескольких дозировок многоединичных лекарственных препаратов достаточно провести исследования, указанные в подразделе 1 раздела VI настоящих Требований, только с наибольшей (наиболее чувствительной) дозировкой, если составы дозировок пропорциональны, содержат идентичные пеллеты (которые произведены с помощью одного и того же процесса производства) и имеют аналогичные профили растворения.</w:t>
      </w:r>
    </w:p>
    <w:bookmarkEnd w:id="548"/>
    <w:bookmarkStart w:name="z564" w:id="549"/>
    <w:p>
      <w:pPr>
        <w:spacing w:after="0"/>
        <w:ind w:left="0"/>
        <w:jc w:val="left"/>
      </w:pPr>
      <w:r>
        <w:rPr>
          <w:rFonts w:ascii="Times New Roman"/>
          <w:b/>
          <w:i w:val="false"/>
          <w:color w:val="000000"/>
        </w:rPr>
        <w:t xml:space="preserve"> 4. Условия выполнения оценки биоэквивалентности для лекарственных препаратов с отсроченным высвобождением</w:t>
      </w:r>
    </w:p>
    <w:bookmarkEnd w:id="549"/>
    <w:bookmarkStart w:name="z565" w:id="550"/>
    <w:p>
      <w:pPr>
        <w:spacing w:after="0"/>
        <w:ind w:left="0"/>
        <w:jc w:val="both"/>
      </w:pPr>
      <w:r>
        <w:rPr>
          <w:rFonts w:ascii="Times New Roman"/>
          <w:b w:val="false"/>
          <w:i w:val="false"/>
          <w:color w:val="000000"/>
          <w:sz w:val="28"/>
        </w:rPr>
        <w:t>
      95. Биоэквивалентность 2 лекарственных препаратов с отсроченным высвобождением необходимо оценить в исследованиях, направленных на подтверждение того, что:</w:t>
      </w:r>
    </w:p>
    <w:bookmarkEnd w:id="550"/>
    <w:bookmarkStart w:name="z566" w:id="551"/>
    <w:p>
      <w:pPr>
        <w:spacing w:after="0"/>
        <w:ind w:left="0"/>
        <w:jc w:val="both"/>
      </w:pPr>
      <w:r>
        <w:rPr>
          <w:rFonts w:ascii="Times New Roman"/>
          <w:b w:val="false"/>
          <w:i w:val="false"/>
          <w:color w:val="000000"/>
          <w:sz w:val="28"/>
        </w:rPr>
        <w:t>
      а) исследуемый лекарственный препарат обладает такими же характеристиками отсроченного высвобождения как и референтный лекарственный препарат;</w:t>
      </w:r>
    </w:p>
    <w:bookmarkEnd w:id="551"/>
    <w:bookmarkStart w:name="z567" w:id="552"/>
    <w:p>
      <w:pPr>
        <w:spacing w:after="0"/>
        <w:ind w:left="0"/>
        <w:jc w:val="both"/>
      </w:pPr>
      <w:r>
        <w:rPr>
          <w:rFonts w:ascii="Times New Roman"/>
          <w:b w:val="false"/>
          <w:i w:val="false"/>
          <w:color w:val="000000"/>
          <w:sz w:val="28"/>
        </w:rPr>
        <w:t>
      б) действующее вещество не высвобождается из исследуемого лекарственного препарата непредсказуемым образом (то есть высвобождение действующего вещества в организме происходит в предусмотренном для этого месте высвобождения);</w:t>
      </w:r>
    </w:p>
    <w:bookmarkEnd w:id="552"/>
    <w:bookmarkStart w:name="z568" w:id="553"/>
    <w:p>
      <w:pPr>
        <w:spacing w:after="0"/>
        <w:ind w:left="0"/>
        <w:jc w:val="both"/>
      </w:pPr>
      <w:r>
        <w:rPr>
          <w:rFonts w:ascii="Times New Roman"/>
          <w:b w:val="false"/>
          <w:i w:val="false"/>
          <w:color w:val="000000"/>
          <w:sz w:val="28"/>
        </w:rPr>
        <w:t>
      в) функциональные характеристики исследуемого и референтного лекарственных препаратов эквивалентны после их однократного приема;</w:t>
      </w:r>
    </w:p>
    <w:bookmarkEnd w:id="553"/>
    <w:bookmarkStart w:name="z569" w:id="554"/>
    <w:p>
      <w:pPr>
        <w:spacing w:after="0"/>
        <w:ind w:left="0"/>
        <w:jc w:val="both"/>
      </w:pPr>
      <w:r>
        <w:rPr>
          <w:rFonts w:ascii="Times New Roman"/>
          <w:b w:val="false"/>
          <w:i w:val="false"/>
          <w:color w:val="000000"/>
          <w:sz w:val="28"/>
        </w:rPr>
        <w:t xml:space="preserve">
      г) в исследовании с однократным дозированием влияние пищи на функциональные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для 2 лекарственных препаратов с отсроченным высвобождением сопоставимо.</w:t>
      </w:r>
    </w:p>
    <w:bookmarkEnd w:id="554"/>
    <w:bookmarkStart w:name="z570" w:id="555"/>
    <w:p>
      <w:pPr>
        <w:spacing w:after="0"/>
        <w:ind w:left="0"/>
        <w:jc w:val="left"/>
      </w:pPr>
      <w:r>
        <w:rPr>
          <w:rFonts w:ascii="Times New Roman"/>
          <w:b/>
          <w:i w:val="false"/>
          <w:color w:val="000000"/>
        </w:rPr>
        <w:t xml:space="preserve"> Исследования, необходимые для подтверждения биоэквивалентности лекарственных препаратов с отсроченным высвобождением</w:t>
      </w:r>
    </w:p>
    <w:bookmarkEnd w:id="555"/>
    <w:bookmarkStart w:name="z571" w:id="556"/>
    <w:p>
      <w:pPr>
        <w:spacing w:after="0"/>
        <w:ind w:left="0"/>
        <w:jc w:val="both"/>
      </w:pPr>
      <w:r>
        <w:rPr>
          <w:rFonts w:ascii="Times New Roman"/>
          <w:b w:val="false"/>
          <w:i w:val="false"/>
          <w:color w:val="000000"/>
          <w:sz w:val="28"/>
        </w:rPr>
        <w:t>
      96. Как правило, для подтверждения биоэквивалентности лекарственных препаратов с отсроченным высвобождением требуются:</w:t>
      </w:r>
    </w:p>
    <w:bookmarkEnd w:id="556"/>
    <w:bookmarkStart w:name="z572" w:id="557"/>
    <w:p>
      <w:pPr>
        <w:spacing w:after="0"/>
        <w:ind w:left="0"/>
        <w:jc w:val="both"/>
      </w:pPr>
      <w:r>
        <w:rPr>
          <w:rFonts w:ascii="Times New Roman"/>
          <w:b w:val="false"/>
          <w:i w:val="false"/>
          <w:color w:val="000000"/>
          <w:sz w:val="28"/>
        </w:rPr>
        <w:t>
      исследования с однократным дозированием исследуемого и референтного лекарственных препаратов натощак;</w:t>
      </w:r>
    </w:p>
    <w:bookmarkEnd w:id="557"/>
    <w:bookmarkStart w:name="z573" w:id="558"/>
    <w:p>
      <w:pPr>
        <w:spacing w:after="0"/>
        <w:ind w:left="0"/>
        <w:jc w:val="both"/>
      </w:pPr>
      <w:r>
        <w:rPr>
          <w:rFonts w:ascii="Times New Roman"/>
          <w:b w:val="false"/>
          <w:i w:val="false"/>
          <w:color w:val="000000"/>
          <w:sz w:val="28"/>
        </w:rPr>
        <w:t>
      исследования с однократным дозированием исследуемого и референтного лекарственных препаратов (после приема очень жирной пищи).</w:t>
      </w:r>
    </w:p>
    <w:bookmarkEnd w:id="558"/>
    <w:bookmarkStart w:name="z574" w:id="559"/>
    <w:p>
      <w:pPr>
        <w:spacing w:after="0"/>
        <w:ind w:left="0"/>
        <w:jc w:val="both"/>
      </w:pPr>
      <w:r>
        <w:rPr>
          <w:rFonts w:ascii="Times New Roman"/>
          <w:b w:val="false"/>
          <w:i w:val="false"/>
          <w:color w:val="000000"/>
          <w:sz w:val="28"/>
        </w:rPr>
        <w:t>
      При планировании проведения исследований лекарственных препаратов с отсроченным высвобождением с однократным дозированием разрешается применить подход, аналогичный подходу к изучению лекарственных препаратов с пролонгированным высвобождением.</w:t>
      </w:r>
    </w:p>
    <w:bookmarkEnd w:id="559"/>
    <w:bookmarkStart w:name="z575" w:id="560"/>
    <w:p>
      <w:pPr>
        <w:spacing w:after="0"/>
        <w:ind w:left="0"/>
        <w:jc w:val="left"/>
      </w:pPr>
      <w:r>
        <w:rPr>
          <w:rFonts w:ascii="Times New Roman"/>
          <w:b/>
          <w:i w:val="false"/>
          <w:color w:val="000000"/>
        </w:rPr>
        <w:t xml:space="preserve"> Исследуемая дозировка (дозировки) лекарственных препаратов с отсроченным высвобождением</w:t>
      </w:r>
    </w:p>
    <w:bookmarkEnd w:id="560"/>
    <w:bookmarkStart w:name="z576" w:id="561"/>
    <w:p>
      <w:pPr>
        <w:spacing w:after="0"/>
        <w:ind w:left="0"/>
        <w:jc w:val="left"/>
      </w:pPr>
      <w:r>
        <w:rPr>
          <w:rFonts w:ascii="Times New Roman"/>
          <w:b/>
          <w:i w:val="false"/>
          <w:color w:val="000000"/>
        </w:rPr>
        <w:t xml:space="preserve"> Одноединичные лекарственные препараты с отсроченным высвобождением</w:t>
      </w:r>
    </w:p>
    <w:bookmarkEnd w:id="561"/>
    <w:bookmarkStart w:name="z577" w:id="562"/>
    <w:p>
      <w:pPr>
        <w:spacing w:after="0"/>
        <w:ind w:left="0"/>
        <w:jc w:val="both"/>
      </w:pPr>
      <w:r>
        <w:rPr>
          <w:rFonts w:ascii="Times New Roman"/>
          <w:b w:val="false"/>
          <w:i w:val="false"/>
          <w:color w:val="000000"/>
          <w:sz w:val="28"/>
        </w:rPr>
        <w:t>
      97. При исследованиях одноединичных лекарственных препаратов с однократным дозированием, в случае если в общей характеристике референтного лекарственного препарата указана возможность его применения натощак или независимо от приема пищи необходимо выполнить:</w:t>
      </w:r>
    </w:p>
    <w:bookmarkEnd w:id="562"/>
    <w:bookmarkStart w:name="z578" w:id="563"/>
    <w:p>
      <w:pPr>
        <w:spacing w:after="0"/>
        <w:ind w:left="0"/>
        <w:jc w:val="both"/>
      </w:pPr>
      <w:r>
        <w:rPr>
          <w:rFonts w:ascii="Times New Roman"/>
          <w:b w:val="false"/>
          <w:i w:val="false"/>
          <w:color w:val="000000"/>
          <w:sz w:val="28"/>
        </w:rPr>
        <w:t>
      а) исследование с однократным дозированием натощак в отношении всех дозировок. При наличии обоснования также разрешается выбор крайних вариантов;</w:t>
      </w:r>
    </w:p>
    <w:bookmarkEnd w:id="563"/>
    <w:bookmarkStart w:name="z579" w:id="564"/>
    <w:p>
      <w:pPr>
        <w:spacing w:after="0"/>
        <w:ind w:left="0"/>
        <w:jc w:val="both"/>
      </w:pPr>
      <w:r>
        <w:rPr>
          <w:rFonts w:ascii="Times New Roman"/>
          <w:b w:val="false"/>
          <w:i w:val="false"/>
          <w:color w:val="000000"/>
          <w:sz w:val="28"/>
        </w:rPr>
        <w:t>
      б) исследование биоэквивалентности с однократным дозированием наибольшей (наиболее чувствительной) дозировки после приема пищи. Для остальных дозировок указанное исследование может не проводиться в случае, если соблюдены критерии биовейвера дозировки, описанные в подразделе 7 раздела III Правил проведения исследований биоэквивалентности. Если дозировки исследуемого лекарственного препарата не соответствуют этим критериям или различные дозировки лекарственного препарата имеют разную внешнюю форму, необходимо оценить 2 дозировки, отражающие 2 наиболее крайних варианта в условиях их приема после приема пищи.</w:t>
      </w:r>
    </w:p>
    <w:bookmarkEnd w:id="564"/>
    <w:bookmarkStart w:name="z580" w:id="565"/>
    <w:p>
      <w:pPr>
        <w:spacing w:after="0"/>
        <w:ind w:left="0"/>
        <w:jc w:val="both"/>
      </w:pPr>
      <w:r>
        <w:rPr>
          <w:rFonts w:ascii="Times New Roman"/>
          <w:b w:val="false"/>
          <w:i w:val="false"/>
          <w:color w:val="000000"/>
          <w:sz w:val="28"/>
        </w:rPr>
        <w:t>
      98. В исследованиях с однократным введением дозы одноединичных лекарственных форм лекарственных препаратов, если общая характеристика референтного препарата рекомендует его применять только после приема пищи. После приема пищи в отношении всех дозировок необходимо провести исследование с однократным дозированием. Однако при обосновании также разрешен выбор крайних вариантов. Достаточно провести 1 исследование биоэквивалентности с однократным дозированием наибольшей дозировки натощак. Для остальных дозировок указанное исследование может не проводиться в случае, если соблюдены критерии биовейвера дозировки, описанные в подразделе 7 раздела III Правил проведения исследований биоэквивалентности. В случае, если дозировки исследуемого лекарственного препарата не соответствуют этим критериям или различные дозировки имеют различную форму, необходимо оценить 2 дозировки, отражающие 2 наиболее крайних варианта, натощак. При оценке пропорциональности состава сходство гастрорезистентной оболочки по площади поверхности (а не по массе ядра) рассматривают как одинаковую гастрорезистентность (слой оболочки в мг/см</w:t>
      </w:r>
      <w:r>
        <w:rPr>
          <w:rFonts w:ascii="Times New Roman"/>
          <w:b w:val="false"/>
          <w:i w:val="false"/>
          <w:color w:val="000000"/>
          <w:vertAlign w:val="superscript"/>
        </w:rPr>
        <w:t>2</w:t>
      </w:r>
      <w:r>
        <w:rPr>
          <w:rFonts w:ascii="Times New Roman"/>
          <w:b w:val="false"/>
          <w:i w:val="false"/>
          <w:color w:val="000000"/>
          <w:sz w:val="28"/>
        </w:rPr>
        <w:t xml:space="preserve"> поверхности).</w:t>
      </w:r>
    </w:p>
    <w:bookmarkEnd w:id="565"/>
    <w:bookmarkStart w:name="z581" w:id="566"/>
    <w:p>
      <w:pPr>
        <w:spacing w:after="0"/>
        <w:ind w:left="0"/>
        <w:jc w:val="both"/>
      </w:pPr>
      <w:r>
        <w:rPr>
          <w:rFonts w:ascii="Times New Roman"/>
          <w:b w:val="false"/>
          <w:i w:val="false"/>
          <w:color w:val="000000"/>
          <w:sz w:val="28"/>
        </w:rPr>
        <w:t>
      99. Проведение исследований с многократным дозированием не требуется, за исключением случаев, когда исследования с однократным дозированием не могут быть проведены у человека из соображений безопасности.</w:t>
      </w:r>
    </w:p>
    <w:bookmarkEnd w:id="566"/>
    <w:bookmarkStart w:name="z582" w:id="567"/>
    <w:p>
      <w:pPr>
        <w:spacing w:after="0"/>
        <w:ind w:left="0"/>
        <w:jc w:val="left"/>
      </w:pPr>
      <w:r>
        <w:rPr>
          <w:rFonts w:ascii="Times New Roman"/>
          <w:b/>
          <w:i w:val="false"/>
          <w:color w:val="000000"/>
        </w:rPr>
        <w:t xml:space="preserve"> Многоединичные лекарственные препараты с отсроченным высвобождением</w:t>
      </w:r>
    </w:p>
    <w:bookmarkEnd w:id="567"/>
    <w:bookmarkStart w:name="z583" w:id="568"/>
    <w:p>
      <w:pPr>
        <w:spacing w:after="0"/>
        <w:ind w:left="0"/>
        <w:jc w:val="both"/>
      </w:pPr>
      <w:r>
        <w:rPr>
          <w:rFonts w:ascii="Times New Roman"/>
          <w:b w:val="false"/>
          <w:i w:val="false"/>
          <w:color w:val="000000"/>
          <w:sz w:val="28"/>
        </w:rPr>
        <w:t>
      100. В отношении нескольких дозировок многоединичных лекарственных препаратов достаточно провести исследования, указанные в подразделе 3 раздела VI настоящих Требований, только с наибольшей (наиболее чувствительной) дозировкой, если составы дозировок пропорциональны, содержат идентичные пеллеты (которые получены с помощью одного и того же процесса производства) и имеют аналогичные профили растворения.</w:t>
      </w:r>
    </w:p>
    <w:bookmarkEnd w:id="568"/>
    <w:bookmarkStart w:name="z584" w:id="569"/>
    <w:p>
      <w:pPr>
        <w:spacing w:after="0"/>
        <w:ind w:left="0"/>
        <w:jc w:val="left"/>
      </w:pPr>
      <w:r>
        <w:rPr>
          <w:rFonts w:ascii="Times New Roman"/>
          <w:b/>
          <w:i w:val="false"/>
          <w:color w:val="000000"/>
        </w:rPr>
        <w:t xml:space="preserve"> 5. Пролонгированное время пребывания лекарственных препаратов в лекарственных формах с модифицированным и отсроченным высвобождением в желудке</w:t>
      </w:r>
    </w:p>
    <w:bookmarkEnd w:id="569"/>
    <w:bookmarkStart w:name="z585" w:id="570"/>
    <w:p>
      <w:pPr>
        <w:spacing w:after="0"/>
        <w:ind w:left="0"/>
        <w:jc w:val="both"/>
      </w:pPr>
      <w:r>
        <w:rPr>
          <w:rFonts w:ascii="Times New Roman"/>
          <w:b w:val="false"/>
          <w:i w:val="false"/>
          <w:color w:val="000000"/>
          <w:sz w:val="28"/>
        </w:rPr>
        <w:t>
      101. Опорожнение желудка от лекарственных форм с модифицированным высвобождением, не распадающихся в желудке (например, таблетки с кишечнорастворимой оболочкой), может быть пролонгированным и высоко изменчивым. Последствия этого эффекта для кишечнорастворимой оболочки лекарственных препаратов с отсроченным высвобождением достаточно непредсказуемы и могут привести к несуществующим или отклоняющимся от нормы профилям концентрации. Если такое аномальное поведение наблюдается с сопоставимой частотой (например, число случаев в группе исследуемого лекарственного препарата не превышает число случаев в группе референтного лекарственного препарата) как в группе исследуемого так и в группе референтного лекарственных препаратов, данные о периодах времени с несуществующим или отклоняющимся от нормы профилем можно исключить из статистического анализа при условии, что это было предусмотрено протоколом исследования. В двухпериодном исследовании это подразумевает исключение субъекта из анализа. Если доля исключенных субъектов превышает 20 % в отдельном исследовании, может потребоваться проверка обоснованности исследования.</w:t>
      </w:r>
    </w:p>
    <w:bookmarkEnd w:id="570"/>
    <w:bookmarkStart w:name="z586" w:id="571"/>
    <w:p>
      <w:pPr>
        <w:spacing w:after="0"/>
        <w:ind w:left="0"/>
        <w:jc w:val="both"/>
      </w:pPr>
      <w:r>
        <w:rPr>
          <w:rFonts w:ascii="Times New Roman"/>
          <w:b w:val="false"/>
          <w:i w:val="false"/>
          <w:color w:val="000000"/>
          <w:sz w:val="28"/>
        </w:rPr>
        <w:t>
      Кроме того, высвобождение действующего вещества может быть существенно замедленно вследствие длительного пребывания действующего вещества в желудке. Поэтому период отбора образцов необходимо планировать таким образом, чтобы получить измеряемые концентрации (с учетом не только периода полувыведения действующего вещества, но и возможного возникновения этого эффекта).</w:t>
      </w:r>
    </w:p>
    <w:bookmarkEnd w:id="571"/>
    <w:bookmarkStart w:name="z587" w:id="572"/>
    <w:p>
      <w:pPr>
        <w:spacing w:after="0"/>
        <w:ind w:left="0"/>
        <w:jc w:val="left"/>
      </w:pPr>
      <w:r>
        <w:rPr>
          <w:rFonts w:ascii="Times New Roman"/>
          <w:b/>
          <w:i w:val="false"/>
          <w:color w:val="000000"/>
        </w:rPr>
        <w:t xml:space="preserve"> 6. Условия выполнения оценки биоэквивалентности для лекарственных препаратов с многофазным модифицированным высвобождением</w:t>
      </w:r>
    </w:p>
    <w:bookmarkEnd w:id="572"/>
    <w:bookmarkStart w:name="z588" w:id="573"/>
    <w:p>
      <w:pPr>
        <w:spacing w:after="0"/>
        <w:ind w:left="0"/>
        <w:jc w:val="both"/>
      </w:pPr>
      <w:r>
        <w:rPr>
          <w:rFonts w:ascii="Times New Roman"/>
          <w:b w:val="false"/>
          <w:i w:val="false"/>
          <w:color w:val="000000"/>
          <w:sz w:val="28"/>
        </w:rPr>
        <w:t>
      102. Критерии, приведенные в настоящих Требованиях, применимы также к оценке биоэквивалентности лекарственных препаратов с модифицированным высвобождением, разработанных для достижения последовательного высвобождения действующего вещества, при котором в лекарственной форме сочетаются обычные и модифицированные характеристики (например, двухфазное (пульсирующее) высвобождение).</w:t>
      </w:r>
    </w:p>
    <w:bookmarkEnd w:id="573"/>
    <w:bookmarkStart w:name="z589" w:id="574"/>
    <w:p>
      <w:pPr>
        <w:spacing w:after="0"/>
        <w:ind w:left="0"/>
        <w:jc w:val="both"/>
      </w:pPr>
      <w:r>
        <w:rPr>
          <w:rFonts w:ascii="Times New Roman"/>
          <w:b w:val="false"/>
          <w:i w:val="false"/>
          <w:color w:val="000000"/>
          <w:sz w:val="28"/>
        </w:rPr>
        <w:t>
      103. Если модифицирована одна из фаз высвобождения, вид и количество необходимых исследований совпадают с описанными в пунктах 81 – 101 настоящих Требований для данного механизма модификации высвобождения. Однако для подтверждения биоэквивалентности для всех фаз необходимо исследовать дополнительные фармакокинетические параметры.</w:t>
      </w:r>
    </w:p>
    <w:bookmarkEnd w:id="574"/>
    <w:bookmarkStart w:name="z590" w:id="575"/>
    <w:p>
      <w:pPr>
        <w:spacing w:after="0"/>
        <w:ind w:left="0"/>
        <w:jc w:val="left"/>
      </w:pPr>
      <w:r>
        <w:rPr>
          <w:rFonts w:ascii="Times New Roman"/>
          <w:b/>
          <w:i w:val="false"/>
          <w:color w:val="000000"/>
        </w:rPr>
        <w:t xml:space="preserve"> 7. Внутримышечные (подкожные) депо-препараты</w:t>
      </w:r>
    </w:p>
    <w:bookmarkEnd w:id="575"/>
    <w:bookmarkStart w:name="z591" w:id="576"/>
    <w:p>
      <w:pPr>
        <w:spacing w:after="0"/>
        <w:ind w:left="0"/>
        <w:jc w:val="left"/>
      </w:pPr>
      <w:r>
        <w:rPr>
          <w:rFonts w:ascii="Times New Roman"/>
          <w:b/>
          <w:i w:val="false"/>
          <w:color w:val="000000"/>
        </w:rPr>
        <w:t xml:space="preserve"> Исследования, необходимые для подтверждения биоэквивалентности внутримышечных (подкожных) депо-препаратов</w:t>
      </w:r>
    </w:p>
    <w:bookmarkEnd w:id="576"/>
    <w:bookmarkStart w:name="z592" w:id="577"/>
    <w:p>
      <w:pPr>
        <w:spacing w:after="0"/>
        <w:ind w:left="0"/>
        <w:jc w:val="both"/>
      </w:pPr>
      <w:r>
        <w:rPr>
          <w:rFonts w:ascii="Times New Roman"/>
          <w:b w:val="false"/>
          <w:i w:val="false"/>
          <w:color w:val="000000"/>
          <w:sz w:val="28"/>
        </w:rPr>
        <w:t>
      104. Для подтверждения биоэквивалентности внутримышечных (подкожных) депо-препаратов требуются:</w:t>
      </w:r>
    </w:p>
    <w:bookmarkEnd w:id="577"/>
    <w:bookmarkStart w:name="z593" w:id="578"/>
    <w:p>
      <w:pPr>
        <w:spacing w:after="0"/>
        <w:ind w:left="0"/>
        <w:jc w:val="both"/>
      </w:pPr>
      <w:r>
        <w:rPr>
          <w:rFonts w:ascii="Times New Roman"/>
          <w:b w:val="false"/>
          <w:i w:val="false"/>
          <w:color w:val="000000"/>
          <w:sz w:val="28"/>
        </w:rPr>
        <w:t>
      исследование с однократным дозированием исследуемого и референтного лекарственных препаратов;</w:t>
      </w:r>
    </w:p>
    <w:bookmarkEnd w:id="578"/>
    <w:bookmarkStart w:name="z594" w:id="579"/>
    <w:p>
      <w:pPr>
        <w:spacing w:after="0"/>
        <w:ind w:left="0"/>
        <w:jc w:val="both"/>
      </w:pPr>
      <w:r>
        <w:rPr>
          <w:rFonts w:ascii="Times New Roman"/>
          <w:b w:val="false"/>
          <w:i w:val="false"/>
          <w:color w:val="000000"/>
          <w:sz w:val="28"/>
        </w:rPr>
        <w:t>
      исследование с многократным дозированием исследуемого и референтного лекарственных препаратов.</w:t>
      </w:r>
    </w:p>
    <w:bookmarkEnd w:id="579"/>
    <w:bookmarkStart w:name="z595" w:id="580"/>
    <w:p>
      <w:pPr>
        <w:spacing w:after="0"/>
        <w:ind w:left="0"/>
        <w:jc w:val="both"/>
      </w:pPr>
      <w:r>
        <w:rPr>
          <w:rFonts w:ascii="Times New Roman"/>
          <w:b w:val="false"/>
          <w:i w:val="false"/>
          <w:color w:val="000000"/>
          <w:sz w:val="28"/>
        </w:rPr>
        <w:t>
      Необходимо провести исследование с многократным дозированием в случае, если в исследовании с однократным дозированием внутримышечных (подкожных) депо-препаратов, проведенном с наибольшей дозировкой, не показано,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более 90 % средней AUC</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для исследуемого и референтного лекарственных препаратов и, следовательно, возможна небольшая степень накопления (кумуляции) действующего вещества лекарственного препарата в организме.</w:t>
      </w:r>
    </w:p>
    <w:bookmarkEnd w:id="580"/>
    <w:bookmarkStart w:name="z596" w:id="581"/>
    <w:p>
      <w:pPr>
        <w:spacing w:after="0"/>
        <w:ind w:left="0"/>
        <w:jc w:val="left"/>
      </w:pPr>
      <w:r>
        <w:rPr>
          <w:rFonts w:ascii="Times New Roman"/>
          <w:b/>
          <w:i w:val="false"/>
          <w:color w:val="000000"/>
        </w:rPr>
        <w:t xml:space="preserve"> Исследуемая дозировка внутримышечных (подкожных) депо-препаратов</w:t>
      </w:r>
    </w:p>
    <w:bookmarkEnd w:id="581"/>
    <w:bookmarkStart w:name="z597" w:id="582"/>
    <w:p>
      <w:pPr>
        <w:spacing w:after="0"/>
        <w:ind w:left="0"/>
        <w:jc w:val="both"/>
      </w:pPr>
      <w:r>
        <w:rPr>
          <w:rFonts w:ascii="Times New Roman"/>
          <w:b w:val="false"/>
          <w:i w:val="false"/>
          <w:color w:val="000000"/>
          <w:sz w:val="28"/>
        </w:rPr>
        <w:t xml:space="preserve">
      105. Если различные дозировки внутримышечных (подкожных) депо-препаратов пропорциональны по составу и проявляют аналогичный профиль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необходимо исследовать только 1 дозировку. Дозировку выбирают на основании линейности фармакокинетики и безопасности. При наличии нескольких непропорциональных дозировок, разрешен выбор крайних вариантов, но при этом необходимо принимать во внимание стратегию выбора состава референтного лекарственного препарата.</w:t>
      </w:r>
    </w:p>
    <w:bookmarkEnd w:id="582"/>
    <w:bookmarkStart w:name="z598" w:id="583"/>
    <w:p>
      <w:pPr>
        <w:spacing w:after="0"/>
        <w:ind w:left="0"/>
        <w:jc w:val="both"/>
      </w:pPr>
      <w:r>
        <w:rPr>
          <w:rFonts w:ascii="Times New Roman"/>
          <w:b w:val="false"/>
          <w:i w:val="false"/>
          <w:color w:val="000000"/>
          <w:sz w:val="28"/>
        </w:rPr>
        <w:t xml:space="preserve">
      106. Если референтный лекарственный препарат зарегистрирован только в одной концентрации, а его различные дозы достигаются за счет введения различного объема лекарственного препарата, в исследовании биоэквивалентности допустимо использовать любую дозу в случае, если в отношении референтного лекарственного препарата установлена пропорциональность доз. Если терапевтические дозы не могут быть введены здоровым добровольцам, для обеспечения безопасности разрешается введение здоровым добровольцам нетерапевтических доз. Если проведение исследования внутримышечных (подкожных) депо-препаратов с однократным дозированием у здоровых добровольцев в целях безопасности или по этическим причинам не возможно, для подтверждения биоэквивалентности проводится исследование с многократным дозированием у пациентов. </w:t>
      </w:r>
    </w:p>
    <w:bookmarkEnd w:id="583"/>
    <w:bookmarkStart w:name="z599" w:id="584"/>
    <w:p>
      <w:pPr>
        <w:spacing w:after="0"/>
        <w:ind w:left="0"/>
        <w:jc w:val="left"/>
      </w:pPr>
      <w:r>
        <w:rPr>
          <w:rFonts w:ascii="Times New Roman"/>
          <w:b/>
          <w:i w:val="false"/>
          <w:color w:val="000000"/>
        </w:rPr>
        <w:t xml:space="preserve"> 8. Трансдермальные формы лекарственных препаратов</w:t>
      </w:r>
    </w:p>
    <w:bookmarkEnd w:id="584"/>
    <w:bookmarkStart w:name="z600" w:id="585"/>
    <w:p>
      <w:pPr>
        <w:spacing w:after="0"/>
        <w:ind w:left="0"/>
        <w:jc w:val="both"/>
      </w:pPr>
      <w:r>
        <w:rPr>
          <w:rFonts w:ascii="Times New Roman"/>
          <w:b w:val="false"/>
          <w:i w:val="false"/>
          <w:color w:val="000000"/>
          <w:sz w:val="28"/>
        </w:rPr>
        <w:t>
      107. Воспроизведенная трансдермальная форма лекарственного препарата содержит то же количество действующего вещества, высвобождаемое в единицу времени, что и референтная трансдермальная форма лекарственного препарата. Это определение отличается от общего определения воспроизведенного лекарственного препарата, поскольку общее количество действующего вещества может отличаться, тогда как номинальное количество действующего вещества, высвобождаемое за единицу времени, должно быть одинаковым у воспроизведенной и оригинальной трансдермальных форм лекарственного препарата.</w:t>
      </w:r>
    </w:p>
    <w:bookmarkEnd w:id="585"/>
    <w:bookmarkStart w:name="z601" w:id="586"/>
    <w:p>
      <w:pPr>
        <w:spacing w:after="0"/>
        <w:ind w:left="0"/>
        <w:jc w:val="both"/>
      </w:pPr>
      <w:r>
        <w:rPr>
          <w:rFonts w:ascii="Times New Roman"/>
          <w:b w:val="false"/>
          <w:i w:val="false"/>
          <w:color w:val="000000"/>
          <w:sz w:val="28"/>
        </w:rPr>
        <w:t>
      Исследование биоэквивалентности трансдермальных форм воспроизведенного лекарственного препарата должно показывать сопоставимые с референтным лекарственным препаратом или более высокие адгезионные свойства и подтверждать их биоэквивалентность. Сопоставимые или более высокие адгезионные свойства трансдермальных лекарственных форм необходимо обеспечить до начала исследований биоэквивалентности у добровольцев, поскольку более низкая адгезия может снизить достоверность результатов фармакокинетических исследований и поставить под сомнение доказательство биоэквивалентности лекарственного препарата. Поскольку свойства кожи у людей, участвующих в исследовании биоэквивалентности адгезии, должны быть аналогичны (подобны) свойствам кожи у пациентов, для которых данный лекарственный препарат будет применяться в обычной клинической практике, требуется проведение нескольких исследований адгезии и фармакокинетики таких лекарственных препаратов в зависимости от свойств кожи пациентов, для которых предназначен лекарственный препарат.</w:t>
      </w:r>
    </w:p>
    <w:bookmarkEnd w:id="586"/>
    <w:bookmarkStart w:name="z602" w:id="587"/>
    <w:p>
      <w:pPr>
        <w:spacing w:after="0"/>
        <w:ind w:left="0"/>
        <w:jc w:val="left"/>
      </w:pPr>
      <w:r>
        <w:rPr>
          <w:rFonts w:ascii="Times New Roman"/>
          <w:b/>
          <w:i w:val="false"/>
          <w:color w:val="000000"/>
        </w:rPr>
        <w:t xml:space="preserve"> Исследования, необходимые для подтверждения биоэквивалентности трансдермальных форм лекарственных препаратов</w:t>
      </w:r>
    </w:p>
    <w:bookmarkEnd w:id="587"/>
    <w:bookmarkStart w:name="z603" w:id="588"/>
    <w:p>
      <w:pPr>
        <w:spacing w:after="0"/>
        <w:ind w:left="0"/>
        <w:jc w:val="both"/>
      </w:pPr>
      <w:r>
        <w:rPr>
          <w:rFonts w:ascii="Times New Roman"/>
          <w:b w:val="false"/>
          <w:i w:val="false"/>
          <w:color w:val="000000"/>
          <w:sz w:val="28"/>
        </w:rPr>
        <w:t>
      108. Для подтверждения биоэквивалентности трансдермальных форм лекарственных препаратов требуются:</w:t>
      </w:r>
    </w:p>
    <w:bookmarkEnd w:id="588"/>
    <w:bookmarkStart w:name="z604" w:id="589"/>
    <w:p>
      <w:pPr>
        <w:spacing w:after="0"/>
        <w:ind w:left="0"/>
        <w:jc w:val="both"/>
      </w:pPr>
      <w:r>
        <w:rPr>
          <w:rFonts w:ascii="Times New Roman"/>
          <w:b w:val="false"/>
          <w:i w:val="false"/>
          <w:color w:val="000000"/>
          <w:sz w:val="28"/>
        </w:rPr>
        <w:t>
      сравнительные исследования с однократным дозированием исследуемого и референтного лекарственных препаратов;</w:t>
      </w:r>
    </w:p>
    <w:bookmarkEnd w:id="589"/>
    <w:bookmarkStart w:name="z605" w:id="590"/>
    <w:p>
      <w:pPr>
        <w:spacing w:after="0"/>
        <w:ind w:left="0"/>
        <w:jc w:val="both"/>
      </w:pPr>
      <w:r>
        <w:rPr>
          <w:rFonts w:ascii="Times New Roman"/>
          <w:b w:val="false"/>
          <w:i w:val="false"/>
          <w:color w:val="000000"/>
          <w:sz w:val="28"/>
        </w:rPr>
        <w:t>
      сравнительные исследования с многократным дозированием исследуемого и референтного лекарственных препаратов.</w:t>
      </w:r>
    </w:p>
    <w:bookmarkEnd w:id="590"/>
    <w:bookmarkStart w:name="z606" w:id="591"/>
    <w:p>
      <w:pPr>
        <w:spacing w:after="0"/>
        <w:ind w:left="0"/>
        <w:jc w:val="both"/>
      </w:pPr>
      <w:r>
        <w:rPr>
          <w:rFonts w:ascii="Times New Roman"/>
          <w:b w:val="false"/>
          <w:i w:val="false"/>
          <w:color w:val="000000"/>
          <w:sz w:val="28"/>
        </w:rPr>
        <w:t>
      Биоэквивалентность трансдермальной лекарственной формы необходимо оценивать после однократного и многократного применения лекарственного препарата. Необходимо провести исследование с многократным дозированием в случае, если в исследовании с однократным дозированием, проведенном с наибольшей дозировкой, не подтверждено,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более 90 % значения AUC</w:t>
      </w:r>
      <w:r>
        <w:rPr>
          <w:rFonts w:ascii="Times New Roman"/>
          <w:b w:val="false"/>
          <w:i w:val="false"/>
          <w:color w:val="000000"/>
          <w:vertAlign w:val="subscript"/>
        </w:rPr>
        <w:t>(0-∞)</w:t>
      </w:r>
      <w:r>
        <w:rPr>
          <w:rFonts w:ascii="Times New Roman"/>
          <w:b w:val="false"/>
          <w:i w:val="false"/>
          <w:color w:val="000000"/>
          <w:sz w:val="28"/>
        </w:rPr>
        <w:t xml:space="preserve"> как для исследуемого лекарственного препарата так и для референтного лекарственного препарата и возможна небольшая степень накопления (кумуляции) действующего вещества лекарственного препарата в организме. При обосновании дизайна исследования (включая выбор места нанесения) следует представить данные подтверждающие необходимую чувствительность выбранного дизайна позволяющую обнаружить различия между исследуемым и референтным лекарственными препаратами. Необходимо максимально стандартизовать выбор участка кожи и процесс нанесения на него лекарственного препарата. Выбор участка кожи и процесс нанесения на него лекарственного препарата должны быть одинаковыми для исследуемого и референтного лекарственных препаратов. Из-за необходимости смены места нанесения пластырей, и смены лекарственных препаратов следует использовать другой участок кожи в той же области тела человека. Не разрешается нарушать адгезионные свойства пластыря (например, вследствие избыточного надавливания с целью приклеивания).</w:t>
      </w:r>
    </w:p>
    <w:bookmarkEnd w:id="591"/>
    <w:bookmarkStart w:name="z607" w:id="592"/>
    <w:p>
      <w:pPr>
        <w:spacing w:after="0"/>
        <w:ind w:left="0"/>
        <w:jc w:val="both"/>
      </w:pPr>
      <w:r>
        <w:rPr>
          <w:rFonts w:ascii="Times New Roman"/>
          <w:b w:val="false"/>
          <w:i w:val="false"/>
          <w:color w:val="000000"/>
          <w:sz w:val="28"/>
        </w:rPr>
        <w:t>
      Биоэквивалентность трансдермальных форм лекарственных препаратов необходимо оценивать с использованием тех же фармакокинетических параметров и статистических процедур, что и при исследовании биоэквивалентности лекарственных препаратов с пролонгированным высвобождением.</w:t>
      </w:r>
    </w:p>
    <w:bookmarkEnd w:id="592"/>
    <w:bookmarkStart w:name="z608" w:id="593"/>
    <w:p>
      <w:pPr>
        <w:spacing w:after="0"/>
        <w:ind w:left="0"/>
        <w:jc w:val="both"/>
      </w:pPr>
      <w:r>
        <w:rPr>
          <w:rFonts w:ascii="Times New Roman"/>
          <w:b w:val="false"/>
          <w:i w:val="false"/>
          <w:color w:val="000000"/>
          <w:sz w:val="28"/>
        </w:rPr>
        <w:t>
      Исследуемый лекарственный препарат должен оказывать аналогичное или меньшее, по сравнению с референтным лекарственным препаратом, местнораздражающее действие, фототоксическое действие, сенсибилизирующее действие и обладать аналогичной или более высокой адгезивностью к коже. Если не представлено обоснования для отказа от проведения исследований (например, в связи с практически идентичным количественным и качественным составом исследуемого и референтного лекарственного препаратов), в целях обеспечения биоэквивалентности с точки зрения безопасности, в сравнительных исследованиях должны быть изучены:</w:t>
      </w:r>
    </w:p>
    <w:bookmarkEnd w:id="593"/>
    <w:bookmarkStart w:name="z609" w:id="594"/>
    <w:p>
      <w:pPr>
        <w:spacing w:after="0"/>
        <w:ind w:left="0"/>
        <w:jc w:val="both"/>
      </w:pPr>
      <w:r>
        <w:rPr>
          <w:rFonts w:ascii="Times New Roman"/>
          <w:b w:val="false"/>
          <w:i w:val="false"/>
          <w:color w:val="000000"/>
          <w:sz w:val="28"/>
        </w:rPr>
        <w:t>
      переносимость лекарственного препарата кожей, его способность вызывать раздражение и сенсибилизация;</w:t>
      </w:r>
    </w:p>
    <w:bookmarkEnd w:id="594"/>
    <w:bookmarkStart w:name="z610" w:id="595"/>
    <w:p>
      <w:pPr>
        <w:spacing w:after="0"/>
        <w:ind w:left="0"/>
        <w:jc w:val="both"/>
      </w:pPr>
      <w:r>
        <w:rPr>
          <w:rFonts w:ascii="Times New Roman"/>
          <w:b w:val="false"/>
          <w:i w:val="false"/>
          <w:color w:val="000000"/>
          <w:sz w:val="28"/>
        </w:rPr>
        <w:t>
      способность лекарственного препарата вызывать фототоксические реакции;</w:t>
      </w:r>
    </w:p>
    <w:bookmarkEnd w:id="595"/>
    <w:bookmarkStart w:name="z611" w:id="596"/>
    <w:p>
      <w:pPr>
        <w:spacing w:after="0"/>
        <w:ind w:left="0"/>
        <w:jc w:val="both"/>
      </w:pPr>
      <w:r>
        <w:rPr>
          <w:rFonts w:ascii="Times New Roman"/>
          <w:b w:val="false"/>
          <w:i w:val="false"/>
          <w:color w:val="000000"/>
          <w:sz w:val="28"/>
        </w:rPr>
        <w:t>
      адгезионные характеристики пластырной основы лекарственного препарата.</w:t>
      </w:r>
    </w:p>
    <w:bookmarkEnd w:id="596"/>
    <w:bookmarkStart w:name="z612" w:id="597"/>
    <w:p>
      <w:pPr>
        <w:spacing w:after="0"/>
        <w:ind w:left="0"/>
        <w:jc w:val="left"/>
      </w:pPr>
      <w:r>
        <w:rPr>
          <w:rFonts w:ascii="Times New Roman"/>
          <w:b/>
          <w:i w:val="false"/>
          <w:color w:val="000000"/>
        </w:rPr>
        <w:t xml:space="preserve"> Исследуемая дозировка трансдермальных форм лекарственных препаратов</w:t>
      </w:r>
    </w:p>
    <w:bookmarkEnd w:id="597"/>
    <w:bookmarkStart w:name="z613" w:id="598"/>
    <w:p>
      <w:pPr>
        <w:spacing w:after="0"/>
        <w:ind w:left="0"/>
        <w:jc w:val="both"/>
      </w:pPr>
      <w:r>
        <w:rPr>
          <w:rFonts w:ascii="Times New Roman"/>
          <w:b w:val="false"/>
          <w:i w:val="false"/>
          <w:color w:val="000000"/>
          <w:sz w:val="28"/>
        </w:rPr>
        <w:t>
      109. При регистрации нескольких дозировок трансдермальных форм лекарственных препаратов исследование биоэквивалентности трансдермальных форм лекарственных препаратов разрешается проводить с наибольшей (наиболее чувствительной) дозировкой при условии, что:</w:t>
      </w:r>
    </w:p>
    <w:bookmarkEnd w:id="598"/>
    <w:bookmarkStart w:name="z614" w:id="599"/>
    <w:p>
      <w:pPr>
        <w:spacing w:after="0"/>
        <w:ind w:left="0"/>
        <w:jc w:val="both"/>
      </w:pPr>
      <w:r>
        <w:rPr>
          <w:rFonts w:ascii="Times New Roman"/>
          <w:b w:val="false"/>
          <w:i w:val="false"/>
          <w:color w:val="000000"/>
          <w:sz w:val="28"/>
        </w:rPr>
        <w:t>
      качественный состав трансдермальных форм лекарственных препаратов одинаков для всех дозировок;</w:t>
      </w:r>
    </w:p>
    <w:bookmarkEnd w:id="599"/>
    <w:bookmarkStart w:name="z615" w:id="600"/>
    <w:p>
      <w:pPr>
        <w:spacing w:after="0"/>
        <w:ind w:left="0"/>
        <w:jc w:val="both"/>
      </w:pPr>
      <w:r>
        <w:rPr>
          <w:rFonts w:ascii="Times New Roman"/>
          <w:b w:val="false"/>
          <w:i w:val="false"/>
          <w:color w:val="000000"/>
          <w:sz w:val="28"/>
        </w:rPr>
        <w:t>
      величина дозировки трансдермальной формы лекарственного препарата пропорциональна площади рабочей поверхности пластыря (то есть площади рабочих поверхностей пластырей меньших дозировок представляют собой доли площади рабочей поверхности пластыря с наибольшей дозировкой);</w:t>
      </w:r>
    </w:p>
    <w:bookmarkEnd w:id="600"/>
    <w:bookmarkStart w:name="z616" w:id="601"/>
    <w:p>
      <w:pPr>
        <w:spacing w:after="0"/>
        <w:ind w:left="0"/>
        <w:jc w:val="both"/>
      </w:pPr>
      <w:r>
        <w:rPr>
          <w:rFonts w:ascii="Times New Roman"/>
          <w:b w:val="false"/>
          <w:i w:val="false"/>
          <w:color w:val="000000"/>
          <w:sz w:val="28"/>
        </w:rPr>
        <w:t>
      профили растворения (высвобождения) действующего вещества из исследуемой и референтной трансдермальных форм лекарственных препаратов одинаков аналогичны.</w:t>
      </w:r>
    </w:p>
    <w:bookmarkEnd w:id="601"/>
    <w:bookmarkStart w:name="z617" w:id="602"/>
    <w:p>
      <w:pPr>
        <w:spacing w:after="0"/>
        <w:ind w:left="0"/>
        <w:jc w:val="both"/>
      </w:pPr>
      <w:r>
        <w:rPr>
          <w:rFonts w:ascii="Times New Roman"/>
          <w:b w:val="false"/>
          <w:i w:val="false"/>
          <w:color w:val="000000"/>
          <w:sz w:val="28"/>
        </w:rPr>
        <w:t>
      При невозможности проведения исследований наибольшей дозировки трансдермальной формы лекарственного препарата с участием здоровых добровольцев по соображениям безопасности разрешается проведение исследований с использованием меньших дозировок лекарственных препаратов, если соблюдается принцип пропорциональности величины дозировки площади рабочей поверхности пластыря.</w:t>
      </w:r>
    </w:p>
    <w:bookmarkEnd w:id="602"/>
    <w:bookmarkStart w:name="z618" w:id="603"/>
    <w:p>
      <w:pPr>
        <w:spacing w:after="0"/>
        <w:ind w:left="0"/>
        <w:jc w:val="left"/>
      </w:pPr>
      <w:r>
        <w:rPr>
          <w:rFonts w:ascii="Times New Roman"/>
          <w:b/>
          <w:i w:val="false"/>
          <w:color w:val="000000"/>
        </w:rPr>
        <w:t xml:space="preserve"> Выбор крайних вариантов при исследовании трансдермальных форм лекарственных препаратов</w:t>
      </w:r>
    </w:p>
    <w:bookmarkEnd w:id="603"/>
    <w:bookmarkStart w:name="z619" w:id="604"/>
    <w:p>
      <w:pPr>
        <w:spacing w:after="0"/>
        <w:ind w:left="0"/>
        <w:jc w:val="both"/>
      </w:pPr>
      <w:r>
        <w:rPr>
          <w:rFonts w:ascii="Times New Roman"/>
          <w:b w:val="false"/>
          <w:i w:val="false"/>
          <w:color w:val="000000"/>
          <w:sz w:val="28"/>
        </w:rPr>
        <w:t>
      110. Если необходима оценка биоэквивалентности более чем 2 дозировок лекарственного препарата (например, из-за отсутствия пропорциональности состава различных дозировок лекарственного препарата и (или) аналогичности профилей растворения лекарственного препарата), а также для одноединичных лекарственных препаратов с пропорциональным составом, при выполнении других критериев освобождения от необходимости проведения исследования биоэквивалентности можно применить выбор крайних вариантов. В этом случае разрешается провести 2 исследования биоэквивалентности, если выбранные дозировки представляют собой крайние варианты, например, наибольшая и наименьшая дозировка или 2 дозировки, больше всего отличающиеся по составу, растворению или форме, так что любые различия в составе или растворении остальных дозировок охвачены 2 проведенными исследованиями.</w:t>
      </w:r>
    </w:p>
    <w:bookmarkEnd w:id="604"/>
    <w:bookmarkStart w:name="z620" w:id="605"/>
    <w:p>
      <w:pPr>
        <w:spacing w:after="0"/>
        <w:ind w:left="0"/>
        <w:jc w:val="both"/>
      </w:pPr>
      <w:r>
        <w:rPr>
          <w:rFonts w:ascii="Times New Roman"/>
          <w:b w:val="false"/>
          <w:i w:val="false"/>
          <w:color w:val="000000"/>
          <w:sz w:val="28"/>
        </w:rPr>
        <w:t>
      Для лекарственных препаратов пролонгированного высвобождения вспомогательные вещества, контролирующие высвобождение, и механизм высвобождения действующего вещества должны быть одинаковыми для всех дозировок исследуемого лекарственного препарата. Те же требования предъявляются к оболочкам лекарственных препаратов с отсроченным высвобождением, контролирующим высвобождение.</w:t>
      </w:r>
    </w:p>
    <w:bookmarkEnd w:id="605"/>
    <w:bookmarkStart w:name="z621" w:id="606"/>
    <w:p>
      <w:pPr>
        <w:spacing w:after="0"/>
        <w:ind w:left="0"/>
        <w:jc w:val="left"/>
      </w:pPr>
      <w:r>
        <w:rPr>
          <w:rFonts w:ascii="Times New Roman"/>
          <w:b/>
          <w:i w:val="false"/>
          <w:color w:val="000000"/>
        </w:rPr>
        <w:t xml:space="preserve"> 9. Новая дозировка зарегистрированного препарата с модифицированным высвобождением</w:t>
      </w:r>
    </w:p>
    <w:bookmarkEnd w:id="606"/>
    <w:bookmarkStart w:name="z622" w:id="607"/>
    <w:p>
      <w:pPr>
        <w:spacing w:after="0"/>
        <w:ind w:left="0"/>
        <w:jc w:val="both"/>
      </w:pPr>
      <w:r>
        <w:rPr>
          <w:rFonts w:ascii="Times New Roman"/>
          <w:b w:val="false"/>
          <w:i w:val="false"/>
          <w:color w:val="000000"/>
          <w:sz w:val="28"/>
        </w:rPr>
        <w:t>
      111. Положения раздела VI настоящих Требований также применяются к выбору исследований при разработке новой дозировки лекарственного препарата с модифицированным высвобождением, которая находится в пределах диапазона применяемых доз, указанного в общей характеристике лекарственного препарата для референтного лекарственного препарата. К новой дозировке, состав которой пропорционален зарегистрированной дозировке (дозировкам), разрешается применять выбор крайних вариантов. Новая дозировка с непропорциональным составом по отношению к зарегистрированной дозировке (дозировкам) должна удовлетворять требованиям, указанным в подразделах 1 – 6 раздела VI настоящих Требований. Проведение нового исследования не требуется, если разрабатываемая новая дозировка лекарственного препарата с модифицированным высвобождением находится в диапазоне между крайними вариантами других дозировок и удовлетворяет требованиям к:</w:t>
      </w:r>
    </w:p>
    <w:bookmarkEnd w:id="607"/>
    <w:bookmarkStart w:name="z623" w:id="608"/>
    <w:p>
      <w:pPr>
        <w:spacing w:after="0"/>
        <w:ind w:left="0"/>
        <w:jc w:val="both"/>
      </w:pPr>
      <w:r>
        <w:rPr>
          <w:rFonts w:ascii="Times New Roman"/>
          <w:b w:val="false"/>
          <w:i w:val="false"/>
          <w:color w:val="000000"/>
          <w:sz w:val="28"/>
        </w:rPr>
        <w:t>
      вспомогательным веществам, контролирующим высвобождение;</w:t>
      </w:r>
    </w:p>
    <w:bookmarkEnd w:id="608"/>
    <w:bookmarkStart w:name="z624" w:id="609"/>
    <w:p>
      <w:pPr>
        <w:spacing w:after="0"/>
        <w:ind w:left="0"/>
        <w:jc w:val="both"/>
      </w:pPr>
      <w:r>
        <w:rPr>
          <w:rFonts w:ascii="Times New Roman"/>
          <w:b w:val="false"/>
          <w:i w:val="false"/>
          <w:color w:val="000000"/>
          <w:sz w:val="28"/>
        </w:rPr>
        <w:t>
      размеру и форме лекарственного препарата;</w:t>
      </w:r>
    </w:p>
    <w:bookmarkEnd w:id="609"/>
    <w:bookmarkStart w:name="z625" w:id="610"/>
    <w:p>
      <w:pPr>
        <w:spacing w:after="0"/>
        <w:ind w:left="0"/>
        <w:jc w:val="both"/>
      </w:pPr>
      <w:r>
        <w:rPr>
          <w:rFonts w:ascii="Times New Roman"/>
          <w:b w:val="false"/>
          <w:i w:val="false"/>
          <w:color w:val="000000"/>
          <w:sz w:val="28"/>
        </w:rPr>
        <w:t>
      производству лекарственной формы.</w:t>
      </w:r>
    </w:p>
    <w:bookmarkEnd w:id="610"/>
    <w:bookmarkStart w:name="z626" w:id="611"/>
    <w:p>
      <w:pPr>
        <w:spacing w:after="0"/>
        <w:ind w:left="0"/>
        <w:jc w:val="both"/>
      </w:pPr>
      <w:r>
        <w:rPr>
          <w:rFonts w:ascii="Times New Roman"/>
          <w:b w:val="false"/>
          <w:i w:val="false"/>
          <w:color w:val="000000"/>
          <w:sz w:val="28"/>
        </w:rPr>
        <w:t>
      Такая новая дозировка лекарственного препарата попадает в категорию, приведенную в подразделе 7 раздела V настоящих Требований. Новая дозировка, не входящая в существующий терапевтический диапазон, требует проведения клинической разработки. Некоторые параметры, (например, профиль безопасности для кожи для системы трансдермальной доставки) не требуют переоценки, если не ожидается, что новая дозировка и предлагаемое показание к применению изменят общий профиль безопасности лекарственного препарата.</w:t>
      </w:r>
    </w:p>
    <w:bookmarkEnd w:id="611"/>
    <w:bookmarkStart w:name="z627" w:id="612"/>
    <w:p>
      <w:pPr>
        <w:spacing w:after="0"/>
        <w:ind w:left="0"/>
        <w:jc w:val="left"/>
      </w:pPr>
      <w:r>
        <w:rPr>
          <w:rFonts w:ascii="Times New Roman"/>
          <w:b/>
          <w:i w:val="false"/>
          <w:color w:val="000000"/>
        </w:rPr>
        <w:t xml:space="preserve"> 10. Оценка фармакокинетических параметров</w:t>
      </w:r>
    </w:p>
    <w:bookmarkEnd w:id="612"/>
    <w:bookmarkStart w:name="z628" w:id="613"/>
    <w:p>
      <w:pPr>
        <w:spacing w:after="0"/>
        <w:ind w:left="0"/>
        <w:jc w:val="left"/>
      </w:pPr>
      <w:r>
        <w:rPr>
          <w:rFonts w:ascii="Times New Roman"/>
          <w:b/>
          <w:i w:val="false"/>
          <w:color w:val="000000"/>
        </w:rPr>
        <w:t xml:space="preserve"> Фармакокинетические параметры, подлежащие анализу</w:t>
      </w:r>
    </w:p>
    <w:bookmarkEnd w:id="613"/>
    <w:bookmarkStart w:name="z629" w:id="614"/>
    <w:p>
      <w:pPr>
        <w:spacing w:after="0"/>
        <w:ind w:left="0"/>
        <w:jc w:val="both"/>
      </w:pPr>
      <w:r>
        <w:rPr>
          <w:rFonts w:ascii="Times New Roman"/>
          <w:b w:val="false"/>
          <w:i w:val="false"/>
          <w:color w:val="000000"/>
          <w:sz w:val="28"/>
        </w:rPr>
        <w:t>
      112. В исследованиях биоэквивалентности с однократным дозированием необходимо определить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остаточную площадь,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и, при необходимости, </w:t>
      </w:r>
      <w:r>
        <w:rPr>
          <w:rFonts w:ascii="Times New Roman"/>
          <w:b w:val="false"/>
          <w:i w:val="false"/>
          <w:color w:val="000000"/>
          <w:vertAlign w:val="subscript"/>
        </w:rPr>
        <w:t>частичную</w:t>
      </w:r>
      <w:r>
        <w:rPr>
          <w:rFonts w:ascii="Times New Roman"/>
          <w:b w:val="false"/>
          <w:i w:val="false"/>
          <w:color w:val="000000"/>
          <w:sz w:val="28"/>
        </w:rPr>
        <w:t>AUC. Усеченная AUC</w:t>
      </w:r>
      <w:r>
        <w:rPr>
          <w:rFonts w:ascii="Times New Roman"/>
          <w:b w:val="false"/>
          <w:i w:val="false"/>
          <w:color w:val="000000"/>
          <w:vertAlign w:val="subscript"/>
        </w:rPr>
        <w:t>(0–72</w:t>
      </w:r>
      <w:r>
        <w:rPr>
          <w:rFonts w:ascii="Times New Roman"/>
          <w:b w:val="false"/>
          <w:i w:val="false"/>
          <w:color w:val="000000"/>
          <w:vertAlign w:val="subscript"/>
        </w:rPr>
        <w:t xml:space="preserve"> </w:t>
      </w:r>
      <w:r>
        <w:rPr>
          <w:rFonts w:ascii="Times New Roman"/>
          <w:b w:val="false"/>
          <w:i w:val="false"/>
          <w:color w:val="000000"/>
          <w:vertAlign w:val="subscript"/>
        </w:rPr>
        <w:t>ч)</w:t>
      </w:r>
      <w:r>
        <w:rPr>
          <w:rFonts w:ascii="Times New Roman"/>
          <w:b w:val="false"/>
          <w:i w:val="false"/>
          <w:color w:val="000000"/>
          <w:sz w:val="28"/>
        </w:rPr>
        <w:t xml:space="preserve"> не приемлема для лекарственных препаратов с модифицированным высвобождением, не предполагающим прием внутрь.</w:t>
      </w:r>
    </w:p>
    <w:bookmarkEnd w:id="614"/>
    <w:bookmarkStart w:name="z630" w:id="615"/>
    <w:p>
      <w:pPr>
        <w:spacing w:after="0"/>
        <w:ind w:left="0"/>
        <w:jc w:val="both"/>
      </w:pPr>
      <w:r>
        <w:rPr>
          <w:rFonts w:ascii="Times New Roman"/>
          <w:b w:val="false"/>
          <w:i w:val="false"/>
          <w:color w:val="000000"/>
          <w:sz w:val="28"/>
        </w:rPr>
        <w:t xml:space="preserve">
      113. К дополнительным параметрам лекарственных препаратов с многофазным модифицированным высвобождением, подлежащим определению, относятся </w:t>
      </w:r>
      <w:r>
        <w:rPr>
          <w:rFonts w:ascii="Times New Roman"/>
          <w:b w:val="false"/>
          <w:i w:val="false"/>
          <w:color w:val="000000"/>
          <w:vertAlign w:val="subscript"/>
        </w:rPr>
        <w:t>частичная</w:t>
      </w:r>
      <w:r>
        <w:rPr>
          <w:rFonts w:ascii="Times New Roman"/>
          <w:b w:val="false"/>
          <w:i w:val="false"/>
          <w:color w:val="000000"/>
          <w:sz w:val="28"/>
        </w:rPr>
        <w:t>AUC, C</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на всех фазах. Временная точка усечения </w:t>
      </w:r>
      <w:r>
        <w:rPr>
          <w:rFonts w:ascii="Times New Roman"/>
          <w:b w:val="false"/>
          <w:i w:val="false"/>
          <w:color w:val="000000"/>
          <w:vertAlign w:val="subscript"/>
        </w:rPr>
        <w:t>частичной</w:t>
      </w:r>
      <w:r>
        <w:rPr>
          <w:rFonts w:ascii="Times New Roman"/>
          <w:b w:val="false"/>
          <w:i w:val="false"/>
          <w:color w:val="000000"/>
          <w:sz w:val="28"/>
        </w:rPr>
        <w:t>AUC должна основываться на фармакокинетическом профиле (например, частях обычного и модифицированного высвобождения, соответственно) и должна быть обоснована и предварительно указана в протоколе исследования.</w:t>
      </w:r>
    </w:p>
    <w:bookmarkEnd w:id="615"/>
    <w:bookmarkStart w:name="z631" w:id="616"/>
    <w:p>
      <w:pPr>
        <w:spacing w:after="0"/>
        <w:ind w:left="0"/>
        <w:jc w:val="both"/>
      </w:pPr>
      <w:r>
        <w:rPr>
          <w:rFonts w:ascii="Times New Roman"/>
          <w:b w:val="false"/>
          <w:i w:val="false"/>
          <w:color w:val="000000"/>
          <w:sz w:val="28"/>
        </w:rPr>
        <w:t>
      114. В исследованиях биоэквивалентности с многократным дозированием необходимо определить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и флуктуацию. В отличие от необходимости установить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при изучении новых лекарственных форм с модифицированным высвобождением, при изучении воспроизведенных лекарственных препаратов с модифицированным высвобождением достаточно сравнить показатели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для воспроизведенного лекарственного препарата и референтного лекарственного препарата. Показатель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позволяет оценить форму кривой воспроизведенного лекарственного препарата и заменяет необходимость оценки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в этих ситуациях.</w:t>
      </w:r>
    </w:p>
    <w:bookmarkEnd w:id="616"/>
    <w:bookmarkStart w:name="z632" w:id="617"/>
    <w:p>
      <w:pPr>
        <w:spacing w:after="0"/>
        <w:ind w:left="0"/>
        <w:jc w:val="left"/>
      </w:pPr>
      <w:r>
        <w:rPr>
          <w:rFonts w:ascii="Times New Roman"/>
          <w:b/>
          <w:i w:val="false"/>
          <w:color w:val="000000"/>
        </w:rPr>
        <w:t xml:space="preserve"> Оценка характеристик и критериев приемлемости</w:t>
      </w:r>
    </w:p>
    <w:bookmarkEnd w:id="617"/>
    <w:bookmarkStart w:name="z633" w:id="618"/>
    <w:p>
      <w:pPr>
        <w:spacing w:after="0"/>
        <w:ind w:left="0"/>
        <w:jc w:val="both"/>
      </w:pPr>
      <w:r>
        <w:rPr>
          <w:rFonts w:ascii="Times New Roman"/>
          <w:b w:val="false"/>
          <w:i w:val="false"/>
          <w:color w:val="000000"/>
          <w:sz w:val="28"/>
        </w:rPr>
        <w:t>
      115. Биоэквивалентность лекарственных препаратов с пролонгированным высвобождением, способных к накоплению (кумуляции), подтверждается после статистической оценки следующих параметров:</w:t>
      </w:r>
    </w:p>
    <w:bookmarkEnd w:id="618"/>
    <w:bookmarkStart w:name="z634" w:id="619"/>
    <w:p>
      <w:pPr>
        <w:spacing w:after="0"/>
        <w:ind w:left="0"/>
        <w:jc w:val="both"/>
      </w:pPr>
      <w:r>
        <w:rPr>
          <w:rFonts w:ascii="Times New Roman"/>
          <w:b w:val="false"/>
          <w:i w:val="false"/>
          <w:color w:val="000000"/>
          <w:sz w:val="28"/>
        </w:rPr>
        <w:t>
      при однократном введении –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619"/>
    <w:bookmarkStart w:name="z635" w:id="620"/>
    <w:p>
      <w:pPr>
        <w:spacing w:after="0"/>
        <w:ind w:left="0"/>
        <w:jc w:val="both"/>
      </w:pPr>
      <w:r>
        <w:rPr>
          <w:rFonts w:ascii="Times New Roman"/>
          <w:b w:val="false"/>
          <w:i w:val="false"/>
          <w:color w:val="000000"/>
          <w:sz w:val="28"/>
        </w:rPr>
        <w:t>
      при многократном введении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620"/>
    <w:bookmarkStart w:name="z636" w:id="621"/>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способных к накоплению (кумуляции), представлена в таблице 1.</w:t>
      </w:r>
    </w:p>
    <w:bookmarkEnd w:id="621"/>
    <w:bookmarkStart w:name="z637" w:id="622"/>
    <w:p>
      <w:pPr>
        <w:spacing w:after="0"/>
        <w:ind w:left="0"/>
        <w:jc w:val="both"/>
      </w:pPr>
      <w:r>
        <w:rPr>
          <w:rFonts w:ascii="Times New Roman"/>
          <w:b w:val="false"/>
          <w:i w:val="false"/>
          <w:color w:val="000000"/>
          <w:sz w:val="28"/>
        </w:rPr>
        <w:t>
      Таблица 1</w:t>
      </w:r>
    </w:p>
    <w:bookmarkEnd w:id="622"/>
    <w:bookmarkStart w:name="z638" w:id="623"/>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способных к накоплению (кумуляции)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6"/>
        <w:gridCol w:w="1435"/>
        <w:gridCol w:w="2232"/>
        <w:gridCol w:w="1037"/>
      </w:tblGrid>
      <w:tr>
        <w:trPr>
          <w:trHeight w:val="30" w:hRule="atLeast"/>
        </w:trPr>
        <w:tc>
          <w:tcPr>
            <w:tcW w:w="7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639" w:id="624"/>
    <w:p>
      <w:pPr>
        <w:spacing w:after="0"/>
        <w:ind w:left="0"/>
        <w:jc w:val="both"/>
      </w:pPr>
      <w:r>
        <w:rPr>
          <w:rFonts w:ascii="Times New Roman"/>
          <w:b w:val="false"/>
          <w:i w:val="false"/>
          <w:color w:val="000000"/>
          <w:sz w:val="28"/>
        </w:rPr>
        <w:t>
      116. Биоэквивалентность препаратов с пролонгированным высвобождением, не способных к накоплению (кумуляции) или предназначенных исключительно для однократного применения, подтверждается после статистической оценки параметров при однократном введении: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xml:space="preserve"> и репрезентативного измерения формы кривой (например, начальной </w:t>
      </w:r>
      <w:r>
        <w:rPr>
          <w:rFonts w:ascii="Times New Roman"/>
          <w:b w:val="false"/>
          <w:i w:val="false"/>
          <w:color w:val="000000"/>
          <w:vertAlign w:val="subscript"/>
        </w:rPr>
        <w:t>частичной</w:t>
      </w:r>
      <w:r>
        <w:rPr>
          <w:rFonts w:ascii="Times New Roman"/>
          <w:b w:val="false"/>
          <w:i w:val="false"/>
          <w:color w:val="000000"/>
          <w:sz w:val="28"/>
        </w:rPr>
        <w:t xml:space="preserve">AUC и конечной </w:t>
      </w:r>
      <w:r>
        <w:rPr>
          <w:rFonts w:ascii="Times New Roman"/>
          <w:b w:val="false"/>
          <w:i w:val="false"/>
          <w:color w:val="000000"/>
          <w:vertAlign w:val="subscript"/>
        </w:rPr>
        <w:t>частичной</w:t>
      </w:r>
      <w:r>
        <w:rPr>
          <w:rFonts w:ascii="Times New Roman"/>
          <w:b w:val="false"/>
          <w:i w:val="false"/>
          <w:color w:val="000000"/>
          <w:sz w:val="28"/>
        </w:rPr>
        <w:t xml:space="preserve">AUC). </w:t>
      </w:r>
    </w:p>
    <w:bookmarkEnd w:id="624"/>
    <w:bookmarkStart w:name="z640" w:id="625"/>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не способных к накоплению (кумуляции), представлена в таблице 2.</w:t>
      </w:r>
    </w:p>
    <w:bookmarkEnd w:id="625"/>
    <w:bookmarkStart w:name="z641" w:id="626"/>
    <w:p>
      <w:pPr>
        <w:spacing w:after="0"/>
        <w:ind w:left="0"/>
        <w:jc w:val="both"/>
      </w:pPr>
      <w:r>
        <w:rPr>
          <w:rFonts w:ascii="Times New Roman"/>
          <w:b w:val="false"/>
          <w:i w:val="false"/>
          <w:color w:val="000000"/>
          <w:sz w:val="28"/>
        </w:rPr>
        <w:t>
      Таблица 2</w:t>
      </w:r>
    </w:p>
    <w:bookmarkEnd w:id="626"/>
    <w:bookmarkStart w:name="z642" w:id="627"/>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не способных к накоплению (кумуляции)</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6"/>
        <w:gridCol w:w="1435"/>
        <w:gridCol w:w="2232"/>
        <w:gridCol w:w="1037"/>
      </w:tblGrid>
      <w:tr>
        <w:trPr>
          <w:trHeight w:val="30" w:hRule="atLeast"/>
        </w:trPr>
        <w:tc>
          <w:tcPr>
            <w:tcW w:w="7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43" w:id="628"/>
    <w:p>
      <w:pPr>
        <w:spacing w:after="0"/>
        <w:ind w:left="0"/>
        <w:jc w:val="both"/>
      </w:pPr>
      <w:r>
        <w:rPr>
          <w:rFonts w:ascii="Times New Roman"/>
          <w:b w:val="false"/>
          <w:i w:val="false"/>
          <w:color w:val="000000"/>
          <w:sz w:val="28"/>
        </w:rPr>
        <w:t>
      117. Биоэквивалентность препаратов с отсроченным высвобождением подтверждается после статистической оценки параметров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и C</w:t>
      </w:r>
      <w:r>
        <w:rPr>
          <w:rFonts w:ascii="Times New Roman"/>
          <w:b w:val="false"/>
          <w:i w:val="false"/>
          <w:color w:val="000000"/>
          <w:vertAlign w:val="subscript"/>
        </w:rPr>
        <w:t>max</w:t>
      </w:r>
      <w:r>
        <w:rPr>
          <w:rFonts w:ascii="Times New Roman"/>
          <w:b w:val="false"/>
          <w:i w:val="false"/>
          <w:color w:val="000000"/>
          <w:sz w:val="28"/>
        </w:rPr>
        <w:t xml:space="preserve"> при однократном введении.</w:t>
      </w:r>
    </w:p>
    <w:bookmarkEnd w:id="628"/>
    <w:bookmarkStart w:name="z644" w:id="629"/>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отсроченным высвобождением представлена в таблице 3.</w:t>
      </w:r>
    </w:p>
    <w:bookmarkEnd w:id="629"/>
    <w:bookmarkStart w:name="z645" w:id="630"/>
    <w:p>
      <w:pPr>
        <w:spacing w:after="0"/>
        <w:ind w:left="0"/>
        <w:jc w:val="both"/>
      </w:pPr>
      <w:r>
        <w:rPr>
          <w:rFonts w:ascii="Times New Roman"/>
          <w:b w:val="false"/>
          <w:i w:val="false"/>
          <w:color w:val="000000"/>
          <w:sz w:val="28"/>
        </w:rPr>
        <w:t>
      Таблица 3</w:t>
      </w:r>
    </w:p>
    <w:bookmarkEnd w:id="630"/>
    <w:bookmarkStart w:name="z646" w:id="631"/>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отсроченным высвобождением</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6"/>
        <w:gridCol w:w="1435"/>
        <w:gridCol w:w="2232"/>
        <w:gridCol w:w="1037"/>
      </w:tblGrid>
      <w:tr>
        <w:trPr>
          <w:trHeight w:val="30" w:hRule="atLeast"/>
        </w:trPr>
        <w:tc>
          <w:tcPr>
            <w:tcW w:w="7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647" w:id="632"/>
    <w:p>
      <w:pPr>
        <w:spacing w:after="0"/>
        <w:ind w:left="0"/>
        <w:jc w:val="both"/>
      </w:pPr>
      <w:r>
        <w:rPr>
          <w:rFonts w:ascii="Times New Roman"/>
          <w:b w:val="false"/>
          <w:i w:val="false"/>
          <w:color w:val="000000"/>
          <w:sz w:val="28"/>
        </w:rPr>
        <w:t>
      118. Биоэквивалентность многофазных препаратов с модифицированным высвобождением подтверждается после статистической оценки следующих параметров:</w:t>
      </w:r>
    </w:p>
    <w:bookmarkEnd w:id="632"/>
    <w:bookmarkStart w:name="z648" w:id="633"/>
    <w:p>
      <w:pPr>
        <w:spacing w:after="0"/>
        <w:ind w:left="0"/>
        <w:jc w:val="both"/>
      </w:pPr>
      <w:r>
        <w:rPr>
          <w:rFonts w:ascii="Times New Roman"/>
          <w:b w:val="false"/>
          <w:i w:val="false"/>
          <w:color w:val="000000"/>
          <w:sz w:val="28"/>
        </w:rPr>
        <w:t>
      при однократном введении –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 xml:space="preserve"> и C</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(во всех фазах высвобождения действующего вещества);</w:t>
      </w:r>
    </w:p>
    <w:bookmarkEnd w:id="633"/>
    <w:bookmarkStart w:name="z649" w:id="634"/>
    <w:p>
      <w:pPr>
        <w:spacing w:after="0"/>
        <w:ind w:left="0"/>
        <w:jc w:val="both"/>
      </w:pPr>
      <w:r>
        <w:rPr>
          <w:rFonts w:ascii="Times New Roman"/>
          <w:b w:val="false"/>
          <w:i w:val="false"/>
          <w:color w:val="000000"/>
          <w:sz w:val="28"/>
        </w:rPr>
        <w:t>
      в случае кумуляции действующего вещества при многократном введении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634"/>
    <w:bookmarkStart w:name="z650" w:id="635"/>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многофазным модифицированным высвобождением представлена в таблице 4.</w:t>
      </w:r>
    </w:p>
    <w:bookmarkEnd w:id="635"/>
    <w:bookmarkStart w:name="z651" w:id="636"/>
    <w:p>
      <w:pPr>
        <w:spacing w:after="0"/>
        <w:ind w:left="0"/>
        <w:jc w:val="both"/>
      </w:pPr>
      <w:r>
        <w:rPr>
          <w:rFonts w:ascii="Times New Roman"/>
          <w:b w:val="false"/>
          <w:i w:val="false"/>
          <w:color w:val="000000"/>
          <w:sz w:val="28"/>
        </w:rPr>
        <w:t>
      119. К доказательству биоэквивалентности воспроизведенных лекарственных препаратов с многофазным модифицированным высвобождением применяется подход, предполагающий использование стандартных границ биоэквивалентности (80,00 % – 125,00 %). Любое расширение границ биоэквивалентности для показателя C</w:t>
      </w:r>
      <w:r>
        <w:rPr>
          <w:rFonts w:ascii="Times New Roman"/>
          <w:b w:val="false"/>
          <w:i w:val="false"/>
          <w:color w:val="000000"/>
          <w:vertAlign w:val="subscript"/>
        </w:rPr>
        <w:t>max</w:t>
      </w:r>
      <w:r>
        <w:rPr>
          <w:rFonts w:ascii="Times New Roman"/>
          <w:b w:val="false"/>
          <w:i w:val="false"/>
          <w:color w:val="000000"/>
          <w:sz w:val="28"/>
        </w:rPr>
        <w:t xml:space="preserve"> должно проводиться с учетом указания для высоко вариабельных лекарственных препаратов, приведенных подразделе 11 раздела III Правил проведения исследований биоэквивалентности.</w:t>
      </w:r>
    </w:p>
    <w:bookmarkEnd w:id="636"/>
    <w:bookmarkStart w:name="z652" w:id="637"/>
    <w:p>
      <w:pPr>
        <w:spacing w:after="0"/>
        <w:ind w:left="0"/>
        <w:jc w:val="both"/>
      </w:pPr>
      <w:r>
        <w:rPr>
          <w:rFonts w:ascii="Times New Roman"/>
          <w:b w:val="false"/>
          <w:i w:val="false"/>
          <w:color w:val="000000"/>
          <w:sz w:val="28"/>
        </w:rPr>
        <w:t>
      Таблица 4</w:t>
      </w:r>
    </w:p>
    <w:bookmarkEnd w:id="637"/>
    <w:bookmarkStart w:name="z653" w:id="638"/>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многофазным модифицированным высвобождением</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6"/>
        <w:gridCol w:w="1435"/>
        <w:gridCol w:w="2232"/>
        <w:gridCol w:w="1037"/>
      </w:tblGrid>
      <w:tr>
        <w:trPr>
          <w:trHeight w:val="30" w:hRule="atLeast"/>
        </w:trPr>
        <w:tc>
          <w:tcPr>
            <w:tcW w:w="7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max(х+1)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654" w:id="639"/>
    <w:p>
      <w:pPr>
        <w:spacing w:after="0"/>
        <w:ind w:left="0"/>
        <w:jc w:val="both"/>
      </w:pPr>
      <w:r>
        <w:rPr>
          <w:rFonts w:ascii="Times New Roman"/>
          <w:b w:val="false"/>
          <w:i w:val="false"/>
          <w:color w:val="000000"/>
          <w:sz w:val="28"/>
        </w:rPr>
        <w:t>
      120. Аналогичный приведенному в пункте 119 подход к расширению границ биоэквивалентности можно использовать для показателей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и </w:t>
      </w:r>
      <w:r>
        <w:rPr>
          <w:rFonts w:ascii="Times New Roman"/>
          <w:b w:val="false"/>
          <w:i w:val="false"/>
          <w:color w:val="000000"/>
          <w:vertAlign w:val="subscript"/>
        </w:rPr>
        <w:t>частичной</w:t>
      </w:r>
      <w:r>
        <w:rPr>
          <w:rFonts w:ascii="Times New Roman"/>
          <w:b w:val="false"/>
          <w:i w:val="false"/>
          <w:color w:val="000000"/>
          <w:sz w:val="28"/>
        </w:rPr>
        <w:t>AUC. Расчет показателя внутрииндивидуальной вариабельности в исследованиях с многократным дозированием может быть выполнен на основании данных по 2 последовательным введениям одного и того же препарата после достижения равновесного состояния.</w:t>
      </w:r>
    </w:p>
    <w:bookmarkEnd w:id="639"/>
    <w:bookmarkStart w:name="z655" w:id="640"/>
    <w:p>
      <w:pPr>
        <w:spacing w:after="0"/>
        <w:ind w:left="0"/>
        <w:jc w:val="both"/>
      </w:pPr>
      <w:r>
        <w:rPr>
          <w:rFonts w:ascii="Times New Roman"/>
          <w:b w:val="false"/>
          <w:i w:val="false"/>
          <w:color w:val="000000"/>
          <w:sz w:val="28"/>
        </w:rPr>
        <w:t>
      121. Для лекарственных препаратов в лекарственных формах с отложенным высвобождением и многофазных лекарственных формах необходимо также оценивать различия в t</w:t>
      </w:r>
      <w:r>
        <w:rPr>
          <w:rFonts w:ascii="Times New Roman"/>
          <w:b w:val="false"/>
          <w:i w:val="false"/>
          <w:color w:val="000000"/>
          <w:vertAlign w:val="subscript"/>
        </w:rPr>
        <w:t>max</w:t>
      </w:r>
      <w:r>
        <w:rPr>
          <w:rFonts w:ascii="Times New Roman"/>
          <w:b w:val="false"/>
          <w:i w:val="false"/>
          <w:color w:val="000000"/>
          <w:sz w:val="28"/>
        </w:rPr>
        <w:t>, особенно если для лекарственного препарата важно обеспечить наступление быстрого начала действия. При этом не требуется проводить формальную статистическую оценку показателя t</w:t>
      </w:r>
      <w:r>
        <w:rPr>
          <w:rFonts w:ascii="Times New Roman"/>
          <w:b w:val="false"/>
          <w:i w:val="false"/>
          <w:color w:val="000000"/>
          <w:vertAlign w:val="subscript"/>
        </w:rPr>
        <w:t>max</w:t>
      </w:r>
      <w:r>
        <w:rPr>
          <w:rFonts w:ascii="Times New Roman"/>
          <w:b w:val="false"/>
          <w:i w:val="false"/>
          <w:color w:val="000000"/>
          <w:sz w:val="28"/>
        </w:rPr>
        <w:t>. Достаточно показать отсутствие явных различий в медианном значении t</w:t>
      </w:r>
      <w:r>
        <w:rPr>
          <w:rFonts w:ascii="Times New Roman"/>
          <w:b w:val="false"/>
          <w:i w:val="false"/>
          <w:color w:val="000000"/>
          <w:vertAlign w:val="subscript"/>
        </w:rPr>
        <w:t>max</w:t>
      </w:r>
      <w:r>
        <w:rPr>
          <w:rFonts w:ascii="Times New Roman"/>
          <w:b w:val="false"/>
          <w:i w:val="false"/>
          <w:color w:val="000000"/>
          <w:sz w:val="28"/>
        </w:rPr>
        <w:t xml:space="preserve"> и его квартильном диапазоне для исследуемого и референтного лекарственных препаратов.</w:t>
      </w:r>
    </w:p>
    <w:bookmarkEnd w:id="640"/>
    <w:bookmarkStart w:name="z656" w:id="641"/>
    <w:p>
      <w:pPr>
        <w:spacing w:after="0"/>
        <w:ind w:left="0"/>
        <w:jc w:val="left"/>
      </w:pPr>
      <w:r>
        <w:rPr>
          <w:rFonts w:ascii="Times New Roman"/>
          <w:b/>
          <w:i w:val="false"/>
          <w:color w:val="000000"/>
        </w:rPr>
        <w:t xml:space="preserve"> 11. Изучение влияния алкоголя на функциональные характеристики лекарственных препаратов  с модифицированным высвобождением</w:t>
      </w:r>
    </w:p>
    <w:bookmarkEnd w:id="641"/>
    <w:bookmarkStart w:name="z657" w:id="642"/>
    <w:p>
      <w:pPr>
        <w:spacing w:after="0"/>
        <w:ind w:left="0"/>
        <w:jc w:val="both"/>
      </w:pPr>
      <w:r>
        <w:rPr>
          <w:rFonts w:ascii="Times New Roman"/>
          <w:b w:val="false"/>
          <w:i w:val="false"/>
          <w:color w:val="000000"/>
          <w:sz w:val="28"/>
        </w:rPr>
        <w:t xml:space="preserve">
      122. Необходимо провести исследования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воспроизведенных лекарственных препаратов в спиртовых растворах. Если в течение короткого периода времени при высоких или низких концентрациях спирта или продолжительного времени при низких концентрациях спирта отмечается ускоренное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необходимо изменить состав лекарственного препарата. Если нельзя избежать воздействия на лекарственный препарат алкоголя в период применения лекарственного препарата и о таком неизбежном воздействии указано в общей характеристике лекарственного препарата для референтного лекарственного препарата, заявитель должен обосновать (подтвердить), что такое влияние не является клинически значимым или проанализировать его потенциальную клиническую значимость на основании данных о применении референтного лекарственного препарата.</w:t>
      </w:r>
    </w:p>
    <w:bookmarkEnd w:id="642"/>
    <w:bookmarkStart w:name="z658" w:id="643"/>
    <w:p>
      <w:pPr>
        <w:spacing w:after="0"/>
        <w:ind w:left="0"/>
        <w:jc w:val="left"/>
      </w:pPr>
      <w:r>
        <w:rPr>
          <w:rFonts w:ascii="Times New Roman"/>
          <w:b/>
          <w:i w:val="false"/>
          <w:color w:val="000000"/>
        </w:rPr>
        <w:t xml:space="preserve"> 12. Прочие факторы, требующие учета при проведении</w:t>
      </w:r>
      <w:r>
        <w:br/>
      </w:r>
      <w:r>
        <w:rPr>
          <w:rFonts w:ascii="Times New Roman"/>
          <w:b/>
          <w:i w:val="false"/>
          <w:color w:val="000000"/>
        </w:rPr>
        <w:t>исследований биоэквивалентности лекарственных препаратов</w:t>
      </w:r>
      <w:r>
        <w:br/>
      </w:r>
      <w:r>
        <w:rPr>
          <w:rFonts w:ascii="Times New Roman"/>
          <w:b/>
          <w:i w:val="false"/>
          <w:color w:val="000000"/>
        </w:rPr>
        <w:t>с модифицированным высвобождением</w:t>
      </w:r>
    </w:p>
    <w:bookmarkEnd w:id="643"/>
    <w:bookmarkStart w:name="z659" w:id="644"/>
    <w:p>
      <w:pPr>
        <w:spacing w:after="0"/>
        <w:ind w:left="0"/>
        <w:jc w:val="both"/>
      </w:pPr>
      <w:r>
        <w:rPr>
          <w:rFonts w:ascii="Times New Roman"/>
          <w:b w:val="false"/>
          <w:i w:val="false"/>
          <w:color w:val="000000"/>
          <w:sz w:val="28"/>
        </w:rPr>
        <w:t>
      123. Должны быть учтены требования к следующим аспектам планирования и оценки биоэквивалентности в соответствии с указаниями для лекарственных препаратов с обычным высвобождением, приведенным в Правилах проведения исследований биоэквивалентности:</w:t>
      </w:r>
    </w:p>
    <w:bookmarkEnd w:id="644"/>
    <w:bookmarkStart w:name="z660" w:id="645"/>
    <w:p>
      <w:pPr>
        <w:spacing w:after="0"/>
        <w:ind w:left="0"/>
        <w:jc w:val="both"/>
      </w:pPr>
      <w:r>
        <w:rPr>
          <w:rFonts w:ascii="Times New Roman"/>
          <w:b w:val="false"/>
          <w:i w:val="false"/>
          <w:color w:val="000000"/>
          <w:sz w:val="28"/>
        </w:rPr>
        <w:t>
      а) выбор исследуемого и референтного лекарственных препаратов;</w:t>
      </w:r>
    </w:p>
    <w:bookmarkEnd w:id="645"/>
    <w:bookmarkStart w:name="z661" w:id="646"/>
    <w:p>
      <w:pPr>
        <w:spacing w:after="0"/>
        <w:ind w:left="0"/>
        <w:jc w:val="both"/>
      </w:pPr>
      <w:r>
        <w:rPr>
          <w:rFonts w:ascii="Times New Roman"/>
          <w:b w:val="false"/>
          <w:i w:val="false"/>
          <w:color w:val="000000"/>
          <w:sz w:val="28"/>
        </w:rPr>
        <w:t>
      б) выбор субъектов исследований;</w:t>
      </w:r>
    </w:p>
    <w:bookmarkEnd w:id="646"/>
    <w:bookmarkStart w:name="z662" w:id="647"/>
    <w:p>
      <w:pPr>
        <w:spacing w:after="0"/>
        <w:ind w:left="0"/>
        <w:jc w:val="both"/>
      </w:pPr>
      <w:r>
        <w:rPr>
          <w:rFonts w:ascii="Times New Roman"/>
          <w:b w:val="false"/>
          <w:i w:val="false"/>
          <w:color w:val="000000"/>
          <w:sz w:val="28"/>
        </w:rPr>
        <w:t>
      в) проведение исследований биоэквивалентности;</w:t>
      </w:r>
    </w:p>
    <w:bookmarkEnd w:id="647"/>
    <w:bookmarkStart w:name="z663" w:id="648"/>
    <w:p>
      <w:pPr>
        <w:spacing w:after="0"/>
        <w:ind w:left="0"/>
        <w:jc w:val="both"/>
      </w:pPr>
      <w:r>
        <w:rPr>
          <w:rFonts w:ascii="Times New Roman"/>
          <w:b w:val="false"/>
          <w:i w:val="false"/>
          <w:color w:val="000000"/>
          <w:sz w:val="28"/>
        </w:rPr>
        <w:t>
      г) статистическая оценка первичных конечных точек;</w:t>
      </w:r>
    </w:p>
    <w:bookmarkEnd w:id="648"/>
    <w:bookmarkStart w:name="z664" w:id="649"/>
    <w:p>
      <w:pPr>
        <w:spacing w:after="0"/>
        <w:ind w:left="0"/>
        <w:jc w:val="both"/>
      </w:pPr>
      <w:r>
        <w:rPr>
          <w:rFonts w:ascii="Times New Roman"/>
          <w:b w:val="false"/>
          <w:i w:val="false"/>
          <w:color w:val="000000"/>
          <w:sz w:val="28"/>
        </w:rPr>
        <w:t>
      д) оценка исходного соединения и его метаболитов;</w:t>
      </w:r>
    </w:p>
    <w:bookmarkEnd w:id="649"/>
    <w:bookmarkStart w:name="z665" w:id="650"/>
    <w:p>
      <w:pPr>
        <w:spacing w:after="0"/>
        <w:ind w:left="0"/>
        <w:jc w:val="both"/>
      </w:pPr>
      <w:r>
        <w:rPr>
          <w:rFonts w:ascii="Times New Roman"/>
          <w:b w:val="false"/>
          <w:i w:val="false"/>
          <w:color w:val="000000"/>
          <w:sz w:val="28"/>
        </w:rPr>
        <w:t>
      е) оценка энантиомеров;</w:t>
      </w:r>
    </w:p>
    <w:bookmarkEnd w:id="650"/>
    <w:bookmarkStart w:name="z666" w:id="651"/>
    <w:p>
      <w:pPr>
        <w:spacing w:after="0"/>
        <w:ind w:left="0"/>
        <w:jc w:val="both"/>
      </w:pPr>
      <w:r>
        <w:rPr>
          <w:rFonts w:ascii="Times New Roman"/>
          <w:b w:val="false"/>
          <w:i w:val="false"/>
          <w:color w:val="000000"/>
          <w:sz w:val="28"/>
        </w:rPr>
        <w:t>
      ж) оценка эндогенных веществ;</w:t>
      </w:r>
    </w:p>
    <w:bookmarkEnd w:id="651"/>
    <w:bookmarkStart w:name="z667" w:id="652"/>
    <w:p>
      <w:pPr>
        <w:spacing w:after="0"/>
        <w:ind w:left="0"/>
        <w:jc w:val="both"/>
      </w:pPr>
      <w:r>
        <w:rPr>
          <w:rFonts w:ascii="Times New Roman"/>
          <w:b w:val="false"/>
          <w:i w:val="false"/>
          <w:color w:val="000000"/>
          <w:sz w:val="28"/>
        </w:rPr>
        <w:t>
      з) исследование лекарственных препаратов с узким терапевтическим индексом (может быть необходимо сужение границ биоэквивалентности для показателя С</w:t>
      </w:r>
      <w:r>
        <w:rPr>
          <w:rFonts w:ascii="Times New Roman"/>
          <w:b w:val="false"/>
          <w:i w:val="false"/>
          <w:color w:val="000000"/>
        </w:rPr>
        <w:t>t</w:t>
      </w:r>
      <w:r>
        <w:rPr>
          <w:rFonts w:ascii="Times New Roman"/>
          <w:b w:val="false"/>
          <w:i w:val="false"/>
          <w:color w:val="000000"/>
          <w:sz w:val="28"/>
        </w:rPr>
        <w:t>);</w:t>
      </w:r>
    </w:p>
    <w:bookmarkEnd w:id="652"/>
    <w:bookmarkStart w:name="z668" w:id="653"/>
    <w:p>
      <w:pPr>
        <w:spacing w:after="0"/>
        <w:ind w:left="0"/>
        <w:jc w:val="both"/>
      </w:pPr>
      <w:r>
        <w:rPr>
          <w:rFonts w:ascii="Times New Roman"/>
          <w:b w:val="false"/>
          <w:i w:val="false"/>
          <w:color w:val="000000"/>
          <w:sz w:val="28"/>
        </w:rPr>
        <w:t>
      и) исследование высоковариабельных действующих веществ и лекарственных препаратов;</w:t>
      </w:r>
    </w:p>
    <w:bookmarkEnd w:id="653"/>
    <w:bookmarkStart w:name="z669" w:id="654"/>
    <w:p>
      <w:pPr>
        <w:spacing w:after="0"/>
        <w:ind w:left="0"/>
        <w:jc w:val="both"/>
      </w:pPr>
      <w:r>
        <w:rPr>
          <w:rFonts w:ascii="Times New Roman"/>
          <w:b w:val="false"/>
          <w:i w:val="false"/>
          <w:color w:val="000000"/>
          <w:sz w:val="28"/>
        </w:rPr>
        <w:t>
      к) оценка линейности показателей фармакокинетики для изучаемых лекарственных препаратов.</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671" w:id="655"/>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исследований трансдермальных лекарственных препаратов на сенсибилизацию и раздражение 1. В настоящих Требованиях содержатся указания по планированию исследований и системам исчисления, которые можно использовать для исследования кожного раздражения и сенсибилизации кожи в ходе разработке трансдермальных лекарственных препаратов с новым химическим соединением или воспроизведенных трансдермальных лекарственных препаратов. Дизайн исследования может быть адаптирован под конкретную ситуацию.</w:t>
      </w:r>
    </w:p>
    <w:bookmarkEnd w:id="655"/>
    <w:bookmarkStart w:name="z672" w:id="656"/>
    <w:p>
      <w:pPr>
        <w:spacing w:after="0"/>
        <w:ind w:left="0"/>
        <w:jc w:val="both"/>
      </w:pPr>
      <w:r>
        <w:rPr>
          <w:rFonts w:ascii="Times New Roman"/>
          <w:b w:val="false"/>
          <w:i w:val="false"/>
          <w:color w:val="000000"/>
          <w:sz w:val="28"/>
        </w:rPr>
        <w:t>
      2. Поскольку состояние кожи может влиять на абсорбцию действующего вещества трансдермального лекарственного препарата и оказывать влияние на эффективность и (или) безопасность его применения реакции кожи и сенсибилизация кожи подлежат оценке.</w:t>
      </w:r>
    </w:p>
    <w:bookmarkEnd w:id="656"/>
    <w:bookmarkStart w:name="z673" w:id="657"/>
    <w:p>
      <w:pPr>
        <w:spacing w:after="0"/>
        <w:ind w:left="0"/>
        <w:jc w:val="both"/>
      </w:pPr>
      <w:r>
        <w:rPr>
          <w:rFonts w:ascii="Times New Roman"/>
          <w:b w:val="false"/>
          <w:i w:val="false"/>
          <w:color w:val="000000"/>
          <w:sz w:val="28"/>
        </w:rPr>
        <w:t>
      3. Для всесторонней оценки биоэквивалентности воспроизведенного трансдермального лекарственного препарата в сравнении с референтным трансдермальным лекарственным препаратом, при отсутствии иных обоснований (например, очень близкого количественного и качественного состава этих трансдермальных лекарственных препаратов) необходимо также подтвердить аналогичность реакций раздражения и аналогичность реакций сенсибилизации кожи.</w:t>
      </w:r>
    </w:p>
    <w:bookmarkEnd w:id="657"/>
    <w:bookmarkStart w:name="z674" w:id="658"/>
    <w:p>
      <w:pPr>
        <w:spacing w:after="0"/>
        <w:ind w:left="0"/>
        <w:jc w:val="both"/>
      </w:pPr>
      <w:r>
        <w:rPr>
          <w:rFonts w:ascii="Times New Roman"/>
          <w:b w:val="false"/>
          <w:i w:val="false"/>
          <w:color w:val="000000"/>
          <w:sz w:val="28"/>
        </w:rPr>
        <w:t>
      4. Дозировку, включаемую в исследование, определяют, учитывая следующие факторы:</w:t>
      </w:r>
    </w:p>
    <w:bookmarkEnd w:id="658"/>
    <w:bookmarkStart w:name="z675" w:id="659"/>
    <w:p>
      <w:pPr>
        <w:spacing w:after="0"/>
        <w:ind w:left="0"/>
        <w:jc w:val="both"/>
      </w:pPr>
      <w:r>
        <w:rPr>
          <w:rFonts w:ascii="Times New Roman"/>
          <w:b w:val="false"/>
          <w:i w:val="false"/>
          <w:color w:val="000000"/>
          <w:sz w:val="28"/>
        </w:rPr>
        <w:t>
      а) ретроспективный опыт применения трансдермальных лекарственных препаратов у человека по данным научной литературы;</w:t>
      </w:r>
    </w:p>
    <w:bookmarkEnd w:id="659"/>
    <w:bookmarkStart w:name="z676" w:id="660"/>
    <w:p>
      <w:pPr>
        <w:spacing w:after="0"/>
        <w:ind w:left="0"/>
        <w:jc w:val="both"/>
      </w:pPr>
      <w:r>
        <w:rPr>
          <w:rFonts w:ascii="Times New Roman"/>
          <w:b w:val="false"/>
          <w:i w:val="false"/>
          <w:color w:val="000000"/>
          <w:sz w:val="28"/>
        </w:rPr>
        <w:t>
      б) ранее проведенные исследования сенсибилизации (раздражения) кожи у животных;</w:t>
      </w:r>
    </w:p>
    <w:bookmarkEnd w:id="660"/>
    <w:bookmarkStart w:name="z677" w:id="661"/>
    <w:p>
      <w:pPr>
        <w:spacing w:after="0"/>
        <w:ind w:left="0"/>
        <w:jc w:val="both"/>
      </w:pPr>
      <w:r>
        <w:rPr>
          <w:rFonts w:ascii="Times New Roman"/>
          <w:b w:val="false"/>
          <w:i w:val="false"/>
          <w:color w:val="000000"/>
          <w:sz w:val="28"/>
        </w:rPr>
        <w:t>
      в) вопросы безопасности, характерные для каждого конкретного исследуемого действующего вещества.</w:t>
      </w:r>
    </w:p>
    <w:bookmarkEnd w:id="661"/>
    <w:bookmarkStart w:name="z678" w:id="662"/>
    <w:p>
      <w:pPr>
        <w:spacing w:after="0"/>
        <w:ind w:left="0"/>
        <w:jc w:val="left"/>
      </w:pPr>
      <w:r>
        <w:rPr>
          <w:rFonts w:ascii="Times New Roman"/>
          <w:b/>
          <w:i w:val="false"/>
          <w:color w:val="000000"/>
        </w:rPr>
        <w:t xml:space="preserve"> Общий дизайн исследований воспроизведенного трансдермального лекарственного препарата</w:t>
      </w:r>
    </w:p>
    <w:bookmarkEnd w:id="662"/>
    <w:bookmarkStart w:name="z679" w:id="663"/>
    <w:p>
      <w:pPr>
        <w:spacing w:after="0"/>
        <w:ind w:left="0"/>
        <w:jc w:val="both"/>
      </w:pPr>
      <w:r>
        <w:rPr>
          <w:rFonts w:ascii="Times New Roman"/>
          <w:b w:val="false"/>
          <w:i w:val="false"/>
          <w:color w:val="000000"/>
          <w:sz w:val="28"/>
        </w:rPr>
        <w:t>
      5. Стандартное исследование должно иметь дизайн с введением активного контроля и плацебо с многократным дозированием в 3 фазы в параллельных группах.</w:t>
      </w:r>
    </w:p>
    <w:bookmarkEnd w:id="663"/>
    <w:bookmarkStart w:name="z680" w:id="664"/>
    <w:p>
      <w:pPr>
        <w:spacing w:after="0"/>
        <w:ind w:left="0"/>
        <w:jc w:val="both"/>
      </w:pPr>
      <w:r>
        <w:rPr>
          <w:rFonts w:ascii="Times New Roman"/>
          <w:b w:val="false"/>
          <w:i w:val="false"/>
          <w:color w:val="000000"/>
          <w:sz w:val="28"/>
        </w:rPr>
        <w:t>
      Если одновременное нанесение исследуемого и референтного трансдермального лекарственных препаратов невозможно, поскольку по незарегистрированному показанию будет введено двойное количество действующего вещества, что может иметь последствия, угрожающие жизни, разрешается использование меньшей дозировки трансдермальных лекарственных препаратов с пропорциональными составами и площадями нанесения.</w:t>
      </w:r>
    </w:p>
    <w:bookmarkEnd w:id="664"/>
    <w:bookmarkStart w:name="z681" w:id="665"/>
    <w:p>
      <w:pPr>
        <w:spacing w:after="0"/>
        <w:ind w:left="0"/>
        <w:jc w:val="both"/>
      </w:pPr>
      <w:r>
        <w:rPr>
          <w:rFonts w:ascii="Times New Roman"/>
          <w:b w:val="false"/>
          <w:i w:val="false"/>
          <w:color w:val="000000"/>
          <w:sz w:val="28"/>
        </w:rPr>
        <w:t>
      Перед нанесением пластырей трансдермальных в течение 14 дней проводится скрининговая оценка, которая включает в себя:</w:t>
      </w:r>
    </w:p>
    <w:bookmarkEnd w:id="665"/>
    <w:bookmarkStart w:name="z682" w:id="666"/>
    <w:p>
      <w:pPr>
        <w:spacing w:after="0"/>
        <w:ind w:left="0"/>
        <w:jc w:val="both"/>
      </w:pPr>
      <w:r>
        <w:rPr>
          <w:rFonts w:ascii="Times New Roman"/>
          <w:b w:val="false"/>
          <w:i w:val="false"/>
          <w:color w:val="000000"/>
          <w:sz w:val="28"/>
        </w:rPr>
        <w:t>
      сбор медицинского анамнеза;</w:t>
      </w:r>
    </w:p>
    <w:bookmarkEnd w:id="666"/>
    <w:bookmarkStart w:name="z683" w:id="667"/>
    <w:p>
      <w:pPr>
        <w:spacing w:after="0"/>
        <w:ind w:left="0"/>
        <w:jc w:val="both"/>
      </w:pPr>
      <w:r>
        <w:rPr>
          <w:rFonts w:ascii="Times New Roman"/>
          <w:b w:val="false"/>
          <w:i w:val="false"/>
          <w:color w:val="000000"/>
          <w:sz w:val="28"/>
        </w:rPr>
        <w:t>
      полное физическое обследование;</w:t>
      </w:r>
    </w:p>
    <w:bookmarkEnd w:id="667"/>
    <w:bookmarkStart w:name="z684" w:id="668"/>
    <w:p>
      <w:pPr>
        <w:spacing w:after="0"/>
        <w:ind w:left="0"/>
        <w:jc w:val="both"/>
      </w:pPr>
      <w:r>
        <w:rPr>
          <w:rFonts w:ascii="Times New Roman"/>
          <w:b w:val="false"/>
          <w:i w:val="false"/>
          <w:color w:val="000000"/>
          <w:sz w:val="28"/>
        </w:rPr>
        <w:t>
      электрокардиографическое исследование (ЭКГ) в 12 отведениях;</w:t>
      </w:r>
    </w:p>
    <w:bookmarkEnd w:id="668"/>
    <w:bookmarkStart w:name="z685" w:id="669"/>
    <w:p>
      <w:pPr>
        <w:spacing w:after="0"/>
        <w:ind w:left="0"/>
        <w:jc w:val="both"/>
      </w:pPr>
      <w:r>
        <w:rPr>
          <w:rFonts w:ascii="Times New Roman"/>
          <w:b w:val="false"/>
          <w:i w:val="false"/>
          <w:color w:val="000000"/>
          <w:sz w:val="28"/>
        </w:rPr>
        <w:t>
      лабораторные анализы (включая биохимию крови, гематологию и анализ мочи, в том числе на содержание наркотических веществ).</w:t>
      </w:r>
    </w:p>
    <w:bookmarkEnd w:id="669"/>
    <w:bookmarkStart w:name="z686" w:id="670"/>
    <w:p>
      <w:pPr>
        <w:spacing w:after="0"/>
        <w:ind w:left="0"/>
        <w:jc w:val="both"/>
      </w:pPr>
      <w:r>
        <w:rPr>
          <w:rFonts w:ascii="Times New Roman"/>
          <w:b w:val="false"/>
          <w:i w:val="false"/>
          <w:color w:val="000000"/>
          <w:sz w:val="28"/>
        </w:rPr>
        <w:t>
      Субъекты исследования распределяются на группы(группу 1 и группу 2) и оцениваются на предмет кумулятивного раздражения и контактной сенсибилизации кожи. Необходимо субъектам исследования обеих групп, если это разрешено в общей характеристике лекарственного препарата, в случайном порядке нанести исследуемый пластырь трансдермальный, референтный пластырь трансдермальный и пластырь-плацебо на кожу спины или другие исследуемые участки кожи. Реакции кожи должен оценивать опытный исследователь (прошедший необходимую подготовку), для которого информация о распределении лекарственных препаратов должна быть маскирована. Во избежание развития избыточной реакции субъекта на воздействие пластыря трансдермального необходимо предусмотреть критерии прекращения участия в исследовании.</w:t>
      </w:r>
    </w:p>
    <w:bookmarkEnd w:id="670"/>
    <w:bookmarkStart w:name="z687" w:id="671"/>
    <w:p>
      <w:pPr>
        <w:spacing w:after="0"/>
        <w:ind w:left="0"/>
        <w:jc w:val="both"/>
      </w:pPr>
      <w:r>
        <w:rPr>
          <w:rFonts w:ascii="Times New Roman"/>
          <w:b w:val="false"/>
          <w:i w:val="false"/>
          <w:color w:val="000000"/>
          <w:sz w:val="28"/>
        </w:rPr>
        <w:t>
      Каждый субъект принимает участие в следующих 3 последовательных фазах исследования.</w:t>
      </w:r>
    </w:p>
    <w:bookmarkEnd w:id="671"/>
    <w:bookmarkStart w:name="z688" w:id="672"/>
    <w:p>
      <w:pPr>
        <w:spacing w:after="0"/>
        <w:ind w:left="0"/>
        <w:jc w:val="left"/>
      </w:pPr>
      <w:r>
        <w:rPr>
          <w:rFonts w:ascii="Times New Roman"/>
          <w:b/>
          <w:i w:val="false"/>
          <w:color w:val="000000"/>
        </w:rPr>
        <w:t xml:space="preserve"> Фаза индукции (накопления) раздражения</w:t>
      </w:r>
    </w:p>
    <w:bookmarkEnd w:id="672"/>
    <w:bookmarkStart w:name="z689" w:id="673"/>
    <w:p>
      <w:pPr>
        <w:spacing w:after="0"/>
        <w:ind w:left="0"/>
        <w:jc w:val="both"/>
      </w:pPr>
      <w:r>
        <w:rPr>
          <w:rFonts w:ascii="Times New Roman"/>
          <w:b w:val="false"/>
          <w:i w:val="false"/>
          <w:color w:val="000000"/>
          <w:sz w:val="28"/>
        </w:rPr>
        <w:t>
      6. Субъектам группы 1 наносят исследуемый пластырь, референтный пластырь и пластырь-плацебо на случайно выбранные участки кожи в течение 21 дня. Субъектам группы 2 наносят исследуемый пластырь, референтный пластырь и пластырь-плацебо на случайно выбранные участки кожи 3 раза в неделю в течение 21 дня (всего 9 нанесений). В группе 2 пластыри остаются на коже в течение 48 часов в рабочие дни и 72 часов – в выходные дни. Новый пластырь наносят на тот же участок, что и предыдущий. Если очередной пластырь надлежит нанести в течение 1 часа и менее после удаления предыдущего, период применения очередного пластыря допускается сократить на этот период времени.</w:t>
      </w:r>
    </w:p>
    <w:bookmarkEnd w:id="673"/>
    <w:bookmarkStart w:name="z690" w:id="674"/>
    <w:p>
      <w:pPr>
        <w:spacing w:after="0"/>
        <w:ind w:left="0"/>
        <w:jc w:val="left"/>
      </w:pPr>
      <w:r>
        <w:rPr>
          <w:rFonts w:ascii="Times New Roman"/>
          <w:b/>
          <w:i w:val="false"/>
          <w:color w:val="000000"/>
        </w:rPr>
        <w:t xml:space="preserve"> Фаза покоя</w:t>
      </w:r>
    </w:p>
    <w:bookmarkEnd w:id="674"/>
    <w:bookmarkStart w:name="z691" w:id="675"/>
    <w:p>
      <w:pPr>
        <w:spacing w:after="0"/>
        <w:ind w:left="0"/>
        <w:jc w:val="both"/>
      </w:pPr>
      <w:r>
        <w:rPr>
          <w:rFonts w:ascii="Times New Roman"/>
          <w:b w:val="false"/>
          <w:i w:val="false"/>
          <w:color w:val="000000"/>
          <w:sz w:val="28"/>
        </w:rPr>
        <w:t>
      7. За фазой индукции (кумуляции) раздражения следует двухнедельная фаза покоя, во время которой пластыри не наносятся.</w:t>
      </w:r>
    </w:p>
    <w:bookmarkEnd w:id="675"/>
    <w:bookmarkStart w:name="z692" w:id="676"/>
    <w:p>
      <w:pPr>
        <w:spacing w:after="0"/>
        <w:ind w:left="0"/>
        <w:jc w:val="left"/>
      </w:pPr>
      <w:r>
        <w:rPr>
          <w:rFonts w:ascii="Times New Roman"/>
          <w:b/>
          <w:i w:val="false"/>
          <w:color w:val="000000"/>
        </w:rPr>
        <w:t xml:space="preserve"> Фаза провокации</w:t>
      </w:r>
    </w:p>
    <w:bookmarkEnd w:id="676"/>
    <w:bookmarkStart w:name="z693" w:id="677"/>
    <w:p>
      <w:pPr>
        <w:spacing w:after="0"/>
        <w:ind w:left="0"/>
        <w:jc w:val="both"/>
      </w:pPr>
      <w:r>
        <w:rPr>
          <w:rFonts w:ascii="Times New Roman"/>
          <w:b w:val="false"/>
          <w:i w:val="false"/>
          <w:color w:val="000000"/>
          <w:sz w:val="28"/>
        </w:rPr>
        <w:t>
      8. После фазы покоя пластыри наносятся на 48 часов на новые участки кожи в пределах ранее определенных границ.</w:t>
      </w:r>
    </w:p>
    <w:bookmarkEnd w:id="677"/>
    <w:bookmarkStart w:name="z694" w:id="678"/>
    <w:p>
      <w:pPr>
        <w:spacing w:after="0"/>
        <w:ind w:left="0"/>
        <w:jc w:val="both"/>
      </w:pPr>
      <w:r>
        <w:rPr>
          <w:rFonts w:ascii="Times New Roman"/>
          <w:b w:val="false"/>
          <w:i w:val="false"/>
          <w:color w:val="000000"/>
          <w:sz w:val="28"/>
        </w:rPr>
        <w:t>
      9. В дополнение к кожной оценке через 0,5 и 24 часа после удаления пластыря субъекты, принимающие участие в фазе провокации, возвращаются на обследование на 40-й и 41-й дни для дополнительной оценки кожной реакции через 48 и 72 часа после удаления последнего пластыря.</w:t>
      </w:r>
    </w:p>
    <w:bookmarkEnd w:id="678"/>
    <w:bookmarkStart w:name="z695" w:id="679"/>
    <w:p>
      <w:pPr>
        <w:spacing w:after="0"/>
        <w:ind w:left="0"/>
        <w:jc w:val="both"/>
      </w:pPr>
      <w:r>
        <w:rPr>
          <w:rFonts w:ascii="Times New Roman"/>
          <w:b w:val="false"/>
          <w:i w:val="false"/>
          <w:color w:val="000000"/>
          <w:sz w:val="28"/>
        </w:rPr>
        <w:t>
      10. В целях минимизации влияния межиндивидуальной вариабельности каждый субъект исследования получает все 3 сравниваемых пластыря одновременно. Кроме того, с целью контроля возможности взаимодействия "препарат – участок нанесения" (которая является маловероятной) все 3 пластыря в случайном порядке наносят на 3 участка кожи так, чтобы каждый пластырь применялся на том же участке кожи, что и раньше, приблизительно равное число раз (если считать применения у всех участников исследования).</w:t>
      </w:r>
    </w:p>
    <w:bookmarkEnd w:id="679"/>
    <w:bookmarkStart w:name="z696" w:id="680"/>
    <w:p>
      <w:pPr>
        <w:spacing w:after="0"/>
        <w:ind w:left="0"/>
        <w:jc w:val="both"/>
      </w:pPr>
      <w:r>
        <w:rPr>
          <w:rFonts w:ascii="Times New Roman"/>
          <w:b w:val="false"/>
          <w:i w:val="false"/>
          <w:color w:val="000000"/>
          <w:sz w:val="28"/>
        </w:rPr>
        <w:t>
      11. Реакции кожи необходимо оценить у всех субъектов исследования группы 1 и группы 2. Участки нанесения пластыря у субъектов обеих групп оцениваются на предмет раздражения кожи спустя 30 минут после удаления пластыря (балл по шкале оценки кожного ответа и балл по шкале оценки сенсибилизации и аллергических реакций). В фазу индукции (накопления) раздражения новые пластыри наносят через 1 час после удаления предыдущего.</w:t>
      </w:r>
    </w:p>
    <w:bookmarkEnd w:id="680"/>
    <w:bookmarkStart w:name="z697" w:id="681"/>
    <w:p>
      <w:pPr>
        <w:spacing w:after="0"/>
        <w:ind w:left="0"/>
        <w:jc w:val="both"/>
      </w:pPr>
      <w:r>
        <w:rPr>
          <w:rFonts w:ascii="Times New Roman"/>
          <w:b w:val="false"/>
          <w:i w:val="false"/>
          <w:color w:val="000000"/>
          <w:sz w:val="28"/>
        </w:rPr>
        <w:t>
      12. В целях оценки контактной сенсибилизации в фазу провокации исследуемый пластырь, пластырь сравнения и пластырь-плацебо наносят одновременно на 48 часов на участки кожи субъектов обеих групп, на которые пластырь ранее не наносился. Реакция кожи на этих участках оценивается через 0,5; 24; 48 и 72 часов после удаления пластыря.</w:t>
      </w:r>
    </w:p>
    <w:bookmarkEnd w:id="681"/>
    <w:bookmarkStart w:name="z698" w:id="682"/>
    <w:p>
      <w:pPr>
        <w:spacing w:after="0"/>
        <w:ind w:left="0"/>
        <w:jc w:val="both"/>
      </w:pPr>
      <w:r>
        <w:rPr>
          <w:rFonts w:ascii="Times New Roman"/>
          <w:b w:val="false"/>
          <w:i w:val="false"/>
          <w:color w:val="000000"/>
          <w:sz w:val="28"/>
        </w:rPr>
        <w:t>
      13. Кожные реакции проверяют и ранжируют, используя шкалы оценки баллов, приведенные в таблице 1 (шкала оценки кожного ответа) и таблице 2 (шкала оценки сенсибилизации и аллергических реакций). Разрешается в качестве возможных альтернативных вариантов оценки использовать иные шкалы оценки, описанные в научной медицинской литературе, при этом требуется обосновать выбор такой шкалы оценки в программе клинического исследования.</w:t>
      </w:r>
    </w:p>
    <w:bookmarkEnd w:id="682"/>
    <w:bookmarkStart w:name="z699" w:id="683"/>
    <w:p>
      <w:pPr>
        <w:spacing w:after="0"/>
        <w:ind w:left="0"/>
        <w:jc w:val="both"/>
      </w:pPr>
      <w:r>
        <w:rPr>
          <w:rFonts w:ascii="Times New Roman"/>
          <w:b w:val="false"/>
          <w:i w:val="false"/>
          <w:color w:val="000000"/>
          <w:sz w:val="28"/>
        </w:rPr>
        <w:t>
      14. Каждое место нанесения получает отдельный балл по шкалам оценки кожного ответа и оценки сенсибилизации и аллергических реакций, которые суммируются в баллы для комбинированной оценки реакции кожи. Для оценки балла каждого вида реакции кожи необходимо, чтобы по меньшей мере на 25 % площади участка кожи на который наносился пластырь, отмечалась реакция кожи. В ходе фазы провокации (оценка контактной сенсибилизации) положительным ответом признается лишь балл комбинированной оценки реакции кожи, превышающий 2.</w:t>
      </w:r>
    </w:p>
    <w:bookmarkEnd w:id="683"/>
    <w:bookmarkStart w:name="z700" w:id="684"/>
    <w:p>
      <w:pPr>
        <w:spacing w:after="0"/>
        <w:ind w:left="0"/>
        <w:jc w:val="both"/>
      </w:pPr>
      <w:r>
        <w:rPr>
          <w:rFonts w:ascii="Times New Roman"/>
          <w:b w:val="false"/>
          <w:i w:val="false"/>
          <w:color w:val="000000"/>
          <w:sz w:val="28"/>
        </w:rPr>
        <w:t>
      Таблица 1</w:t>
      </w:r>
    </w:p>
    <w:bookmarkEnd w:id="684"/>
    <w:bookmarkStart w:name="z701" w:id="685"/>
    <w:p>
      <w:pPr>
        <w:spacing w:after="0"/>
        <w:ind w:left="0"/>
        <w:jc w:val="left"/>
      </w:pPr>
      <w:r>
        <w:rPr>
          <w:rFonts w:ascii="Times New Roman"/>
          <w:b/>
          <w:i w:val="false"/>
          <w:color w:val="000000"/>
        </w:rPr>
        <w:t xml:space="preserve"> Баллы по шкале оценки кожного ответа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0783"/>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реакции (признаки раздражения отсутствуют)</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(едва видимая) эритема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(легко видимая) эритема без отека и (или) папул</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эритема без отека и (или) папул или легкая (легко видимая) эритема с отеком и (или) папулами</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эритема без отека и (или) папул или умеренная эритема с отеком и (или) папулами</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эритема с отеком и (или) папулами или любая везикулярная реакция</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Буллезная реакция или любые реакции, соответствующие </w:t>
            </w:r>
            <w:r>
              <w:br/>
            </w:r>
            <w:r>
              <w:rPr>
                <w:rFonts w:ascii="Times New Roman"/>
                <w:b w:val="false"/>
                <w:i w:val="false"/>
                <w:color w:val="000000"/>
                <w:sz w:val="20"/>
              </w:rPr>
              <w:t>3 – 5 баллам, но распространяющиеся за пределы пластыря</w:t>
            </w:r>
          </w:p>
        </w:tc>
      </w:tr>
    </w:tbl>
    <w:bookmarkStart w:name="z702" w:id="686"/>
    <w:p>
      <w:pPr>
        <w:spacing w:after="0"/>
        <w:ind w:left="0"/>
        <w:jc w:val="both"/>
      </w:pPr>
      <w:r>
        <w:rPr>
          <w:rFonts w:ascii="Times New Roman"/>
          <w:b w:val="false"/>
          <w:i w:val="false"/>
          <w:color w:val="000000"/>
          <w:sz w:val="28"/>
        </w:rPr>
        <w:t>
      Таблица 2</w:t>
      </w:r>
    </w:p>
    <w:bookmarkEnd w:id="686"/>
    <w:bookmarkStart w:name="z703" w:id="687"/>
    <w:p>
      <w:pPr>
        <w:spacing w:after="0"/>
        <w:ind w:left="0"/>
        <w:jc w:val="left"/>
      </w:pPr>
      <w:r>
        <w:rPr>
          <w:rFonts w:ascii="Times New Roman"/>
          <w:b/>
          <w:i w:val="false"/>
          <w:color w:val="000000"/>
        </w:rPr>
        <w:t xml:space="preserve"> Баллы по шкале оценки сенсибилизации и аллергических реакций</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реакции</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без инфильтрации</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отдельными папулами</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папулами, везикулами</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папулами, сливными везикулами</w:t>
            </w:r>
          </w:p>
        </w:tc>
      </w:tr>
    </w:tbl>
    <w:bookmarkStart w:name="z704" w:id="688"/>
    <w:p>
      <w:pPr>
        <w:spacing w:after="0"/>
        <w:ind w:left="0"/>
        <w:jc w:val="both"/>
      </w:pPr>
      <w:r>
        <w:rPr>
          <w:rFonts w:ascii="Times New Roman"/>
          <w:b w:val="false"/>
          <w:i w:val="false"/>
          <w:color w:val="000000"/>
          <w:sz w:val="28"/>
        </w:rPr>
        <w:t>
      15. "Выраженной" реакцией на исследуемый препарат является балл по шкале оценки кожного ответа, равный 3 – 6, или сумма любого балла по шкале оценки кожного ответа и балла по шкале оценки сенсибилизации и аллергических реакций, равная 3 или более.</w:t>
      </w:r>
    </w:p>
    <w:bookmarkEnd w:id="688"/>
    <w:bookmarkStart w:name="z705" w:id="689"/>
    <w:p>
      <w:pPr>
        <w:spacing w:after="0"/>
        <w:ind w:left="0"/>
        <w:jc w:val="both"/>
      </w:pPr>
      <w:r>
        <w:rPr>
          <w:rFonts w:ascii="Times New Roman"/>
          <w:b w:val="false"/>
          <w:i w:val="false"/>
          <w:color w:val="000000"/>
          <w:sz w:val="28"/>
        </w:rPr>
        <w:t>
      Таблица 3</w:t>
      </w:r>
    </w:p>
    <w:bookmarkEnd w:id="689"/>
    <w:bookmarkStart w:name="z706" w:id="690"/>
    <w:p>
      <w:pPr>
        <w:spacing w:after="0"/>
        <w:ind w:left="0"/>
        <w:jc w:val="left"/>
      </w:pPr>
      <w:r>
        <w:rPr>
          <w:rFonts w:ascii="Times New Roman"/>
          <w:b/>
          <w:i w:val="false"/>
          <w:color w:val="000000"/>
        </w:rPr>
        <w:t xml:space="preserve"> Комбинированная оценка по баллам шкалы оценки кожного ответа и баллам шкалы оценки сенсибилизации и аллергических реакций исследуемого трансдермального лекарственного препарата, референтного трансдермального лекарственного препарата</w:t>
      </w:r>
      <w:r>
        <w:br/>
      </w:r>
      <w:r>
        <w:rPr>
          <w:rFonts w:ascii="Times New Roman"/>
          <w:b/>
          <w:i w:val="false"/>
          <w:color w:val="000000"/>
        </w:rPr>
        <w:t>и препарата-плацебо</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653"/>
        <w:gridCol w:w="1960"/>
        <w:gridCol w:w="6442"/>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оценки, выполняемой исследователем</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индукции (накопления) раздражения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1"/>
          <w:p>
            <w:pPr>
              <w:spacing w:after="20"/>
              <w:ind w:left="20"/>
              <w:jc w:val="both"/>
            </w:pPr>
            <w:r>
              <w:rPr>
                <w:rFonts w:ascii="Times New Roman"/>
                <w:b w:val="false"/>
                <w:i w:val="false"/>
                <w:color w:val="000000"/>
                <w:sz w:val="20"/>
              </w:rPr>
              <w:t>
Баллы кожного ответа</w:t>
            </w:r>
            <w:r>
              <w:br/>
            </w:r>
            <w:r>
              <w:rPr>
                <w:rFonts w:ascii="Times New Roman"/>
                <w:b w:val="false"/>
                <w:i w:val="false"/>
                <w:color w:val="000000"/>
                <w:sz w:val="20"/>
              </w:rPr>
              <w:t>
Баллы для подсчета сенсибилизации и оценки аллергических реакций</w:t>
            </w:r>
          </w:p>
          <w:bookmarkEnd w:id="691"/>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2"/>
          <w:p>
            <w:pPr>
              <w:spacing w:after="20"/>
              <w:ind w:left="20"/>
              <w:jc w:val="both"/>
            </w:pPr>
            <w:r>
              <w:rPr>
                <w:rFonts w:ascii="Times New Roman"/>
                <w:b w:val="false"/>
                <w:i w:val="false"/>
                <w:color w:val="000000"/>
                <w:sz w:val="20"/>
              </w:rPr>
              <w:t>
средний балл раздражения (равен среднему баллу кожного ответа в группе);</w:t>
            </w:r>
            <w:r>
              <w:br/>
            </w:r>
            <w:r>
              <w:rPr>
                <w:rFonts w:ascii="Times New Roman"/>
                <w:b w:val="false"/>
                <w:i w:val="false"/>
                <w:color w:val="000000"/>
                <w:sz w:val="20"/>
              </w:rPr>
              <w:t>
</w:t>
            </w:r>
            <w:r>
              <w:rPr>
                <w:rFonts w:ascii="Times New Roman"/>
                <w:b w:val="false"/>
                <w:i w:val="false"/>
                <w:color w:val="000000"/>
                <w:sz w:val="20"/>
              </w:rPr>
              <w:t>общее накопленное раздражение (равно сумме баллов кожного ответа в группе)</w:t>
            </w:r>
            <w:r>
              <w:br/>
            </w:r>
            <w:r>
              <w:rPr>
                <w:rFonts w:ascii="Times New Roman"/>
                <w:b w:val="false"/>
                <w:i w:val="false"/>
                <w:color w:val="000000"/>
                <w:sz w:val="20"/>
              </w:rPr>
              <w:t>
</w:t>
            </w:r>
            <w:r>
              <w:rPr>
                <w:rFonts w:ascii="Times New Roman"/>
                <w:b w:val="false"/>
                <w:i w:val="false"/>
                <w:color w:val="000000"/>
                <w:sz w:val="20"/>
              </w:rPr>
              <w:t>комбинированный кожный ответ в группе (равен сумме баллов кожного ответа и баллов для подсчета сенсибилизации и оценки аллергических реакций в группе)</w:t>
            </w:r>
            <w:r>
              <w:br/>
            </w:r>
            <w:r>
              <w:rPr>
                <w:rFonts w:ascii="Times New Roman"/>
                <w:b w:val="false"/>
                <w:i w:val="false"/>
                <w:color w:val="000000"/>
                <w:sz w:val="20"/>
              </w:rPr>
              <w:t>
средний балл комбинированного кожного ответа (равен среднему суммы баллов кожного ответа и баллов для подсчета сенсибилизации и оценки аллергических реакций у каждого субъекта в группе)</w:t>
            </w:r>
          </w:p>
          <w:bookmarkEnd w:id="692"/>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3"/>
          <w:p>
            <w:pPr>
              <w:spacing w:after="20"/>
              <w:ind w:left="20"/>
              <w:jc w:val="both"/>
            </w:pPr>
            <w:r>
              <w:rPr>
                <w:rFonts w:ascii="Times New Roman"/>
                <w:b w:val="false"/>
                <w:i w:val="false"/>
                <w:color w:val="000000"/>
                <w:sz w:val="20"/>
              </w:rPr>
              <w:t xml:space="preserve">
Группы </w:t>
            </w:r>
            <w:r>
              <w:br/>
            </w:r>
            <w:r>
              <w:rPr>
                <w:rFonts w:ascii="Times New Roman"/>
                <w:b w:val="false"/>
                <w:i w:val="false"/>
                <w:color w:val="000000"/>
                <w:sz w:val="20"/>
              </w:rPr>
              <w:t>
1 + 2</w:t>
            </w:r>
          </w:p>
          <w:bookmarkEnd w:id="693"/>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провокации (контактной сенсибилизации)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4"/>
          <w:p>
            <w:pPr>
              <w:spacing w:after="20"/>
              <w:ind w:left="20"/>
              <w:jc w:val="both"/>
            </w:pPr>
            <w:r>
              <w:rPr>
                <w:rFonts w:ascii="Times New Roman"/>
                <w:b w:val="false"/>
                <w:i w:val="false"/>
                <w:color w:val="000000"/>
                <w:sz w:val="20"/>
              </w:rPr>
              <w:t>
Баллы кожного ответа</w:t>
            </w:r>
            <w:r>
              <w:br/>
            </w:r>
            <w:r>
              <w:rPr>
                <w:rFonts w:ascii="Times New Roman"/>
                <w:b w:val="false"/>
                <w:i w:val="false"/>
                <w:color w:val="000000"/>
                <w:sz w:val="20"/>
              </w:rPr>
              <w:t>
</w:t>
            </w:r>
            <w:r>
              <w:rPr>
                <w:rFonts w:ascii="Times New Roman"/>
                <w:b w:val="false"/>
                <w:i w:val="false"/>
                <w:color w:val="000000"/>
                <w:sz w:val="20"/>
              </w:rPr>
              <w:t>Баллы для подсчета сенсибилизации и оценки аллергических реакций</w:t>
            </w:r>
            <w:r>
              <w:br/>
            </w:r>
            <w:r>
              <w:rPr>
                <w:rFonts w:ascii="Times New Roman"/>
                <w:b w:val="false"/>
                <w:i w:val="false"/>
                <w:color w:val="000000"/>
                <w:sz w:val="20"/>
              </w:rPr>
              <w:t>
 </w:t>
            </w:r>
          </w:p>
          <w:bookmarkEnd w:id="694"/>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комбинированного кожного ответа 2:2</w:t>
            </w:r>
          </w:p>
        </w:tc>
      </w:tr>
    </w:tbl>
    <w:bookmarkStart w:name="z714" w:id="695"/>
    <w:p>
      <w:pPr>
        <w:spacing w:after="0"/>
        <w:ind w:left="0"/>
        <w:jc w:val="both"/>
      </w:pPr>
      <w:r>
        <w:rPr>
          <w:rFonts w:ascii="Times New Roman"/>
          <w:b w:val="false"/>
          <w:i w:val="false"/>
          <w:color w:val="000000"/>
          <w:sz w:val="28"/>
        </w:rPr>
        <w:t>
      16. При проведении основного анализа сравнивают средний балл раздражения (средний по всем наблюдениям балл кожного ответа) и общее накопленное раздражение в баллах (сумма баллов кожного ответа во всех наблюдениях) исследуемого препарата и референтного препарата. Для получения положительной оценки соотношения "польза – риск" такого препарата проводят заранее спланированный статистический анализ, основанный на проверке статистической гипотезы не меньшей эффективности. Для сравнения баллов раздражения между препаратами используется метод 2 односторонних t-тестов. Для каждого параметра наименьшее среднее квадратическое отклонение по каждому препарату получают из модели дисперсионного анализа, в котором субъект и исследуемый препарат выступают в качестве фиксированных переменных. Необходимо рассчитать отношение наименьшего среднего квадратического отклонения исследуемого препарата к референтному препарату вместе с 90 % доверительным интервалом. Если 90 % доверительный интервал полностью укладывается в интервал 0,8000 – 1,2500, делают вывод об эквивалентности 2 препаратов.</w:t>
      </w:r>
    </w:p>
    <w:bookmarkEnd w:id="695"/>
    <w:bookmarkStart w:name="z715" w:id="696"/>
    <w:p>
      <w:pPr>
        <w:spacing w:after="0"/>
        <w:ind w:left="0"/>
        <w:jc w:val="both"/>
      </w:pPr>
      <w:r>
        <w:rPr>
          <w:rFonts w:ascii="Times New Roman"/>
          <w:b w:val="false"/>
          <w:i w:val="false"/>
          <w:color w:val="000000"/>
          <w:sz w:val="28"/>
        </w:rPr>
        <w:t>
      17. Оценка контактной сенсибилизации проводится в фазу провокации при балле кожного ответа равном или больше 2. Эти данные не требуется подвергать статистическому анализу.</w:t>
      </w:r>
    </w:p>
    <w:bookmarkEnd w:id="696"/>
    <w:bookmarkStart w:name="z716" w:id="697"/>
    <w:p>
      <w:pPr>
        <w:spacing w:after="0"/>
        <w:ind w:left="0"/>
        <w:jc w:val="both"/>
      </w:pPr>
      <w:r>
        <w:rPr>
          <w:rFonts w:ascii="Times New Roman"/>
          <w:b w:val="false"/>
          <w:i w:val="false"/>
          <w:color w:val="000000"/>
          <w:sz w:val="28"/>
        </w:rPr>
        <w:t>
      18. Приведенный в настоящем приложении дизайн исследования используется для изучения отдельных вопросов эквивалентности воспроизведенных трансдермальных лекарственных препаратов (например, оценки эквивалентности определенных характеристик промышленной рецептуры и производственного процесса, различий в составе воспроизведенных трансдермальных лекарственных препаратов по сравнению с референтными, оценки эквивалентности планируемых интервалов дозирования трансдермальных лекарственных препаратов).</w:t>
      </w:r>
    </w:p>
    <w:bookmarkEnd w:id="697"/>
    <w:bookmarkStart w:name="z717" w:id="698"/>
    <w:p>
      <w:pPr>
        <w:spacing w:after="0"/>
        <w:ind w:left="0"/>
        <w:jc w:val="both"/>
      </w:pPr>
      <w:r>
        <w:rPr>
          <w:rFonts w:ascii="Times New Roman"/>
          <w:b w:val="false"/>
          <w:i w:val="false"/>
          <w:color w:val="000000"/>
          <w:sz w:val="28"/>
        </w:rPr>
        <w:t>
      Исследования, проводимые для оценки сенсибилизации, предусматривающие многократное нанесение пластыря человеку в качестве субъекта исследования, необходимо проводить только в исключительных случаях, поскольку субъекты исследования могут подвергнуться ненужной сенсибилизации, а размер выборки может не включать чувствительных субъектов (то есть людей, организм которых способен обеспечить надлежащую реакцию).</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719" w:id="699"/>
    <w:p>
      <w:pPr>
        <w:spacing w:after="0"/>
        <w:ind w:left="0"/>
        <w:jc w:val="left"/>
      </w:pPr>
      <w:r>
        <w:rPr>
          <w:rFonts w:ascii="Times New Roman"/>
          <w:b/>
          <w:i w:val="false"/>
          <w:color w:val="000000"/>
        </w:rPr>
        <w:t xml:space="preserve"> УКАЗАНИЯ</w:t>
      </w:r>
      <w:r>
        <w:br/>
      </w:r>
      <w:r>
        <w:rPr>
          <w:rFonts w:ascii="Times New Roman"/>
          <w:b/>
          <w:i w:val="false"/>
          <w:color w:val="000000"/>
        </w:rPr>
        <w:t>по оценке кожной адгезии in vivo</w:t>
      </w:r>
    </w:p>
    <w:bookmarkEnd w:id="699"/>
    <w:bookmarkStart w:name="z720" w:id="700"/>
    <w:p>
      <w:pPr>
        <w:spacing w:after="0"/>
        <w:ind w:left="0"/>
        <w:jc w:val="left"/>
      </w:pPr>
      <w:r>
        <w:rPr>
          <w:rFonts w:ascii="Times New Roman"/>
          <w:b/>
          <w:i w:val="false"/>
          <w:color w:val="000000"/>
        </w:rPr>
        <w:t xml:space="preserve"> I. Трансдермальные лекарственные препараты, содержащие новое или известное действующее вещество</w:t>
      </w:r>
    </w:p>
    <w:bookmarkEnd w:id="700"/>
    <w:bookmarkStart w:name="z721" w:id="701"/>
    <w:p>
      <w:pPr>
        <w:spacing w:after="0"/>
        <w:ind w:left="0"/>
        <w:jc w:val="both"/>
      </w:pPr>
      <w:r>
        <w:rPr>
          <w:rFonts w:ascii="Times New Roman"/>
          <w:b w:val="false"/>
          <w:i w:val="false"/>
          <w:color w:val="000000"/>
          <w:sz w:val="28"/>
        </w:rPr>
        <w:t xml:space="preserve">
      1. Изучение адгезивных функциональных характеристик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является, как правило, частью исследований эффективности лекарственного препарата. На основании анализа рисков, общей характеристики лекарственного препарата и листков-вкладышей конкретных лекарственных препаратов необходимо оценить устойчивость лекарственного препарата к повседневной физической активности и поведению (например, влагоустойчивость при мытье, принятии душа, посещении сауны, использовании увлажнителей, риск самопроизвольного удаления при выполнении физической зарядки и (или) во сне, потенциальный перенос на кожу других людей (сексуальных партнеров или членов семьи)). Необходимо предотвратить случайный перенос пластыря на кожу человека, который его не носит, и минимизировать прочие риски, обусловленные плохой адгезией, путем обеспечения удовлетворительных адгезивных функциональных характеристик пластыря.</w:t>
      </w:r>
    </w:p>
    <w:bookmarkEnd w:id="701"/>
    <w:bookmarkStart w:name="z722" w:id="702"/>
    <w:p>
      <w:pPr>
        <w:spacing w:after="0"/>
        <w:ind w:left="0"/>
        <w:jc w:val="left"/>
      </w:pPr>
      <w:r>
        <w:rPr>
          <w:rFonts w:ascii="Times New Roman"/>
          <w:b/>
          <w:i w:val="false"/>
          <w:color w:val="000000"/>
        </w:rPr>
        <w:t xml:space="preserve"> II. Трансдермальный лекарственный препарат, являющийся аналогом зарегистрированного трансдермального лекарственного препарата</w:t>
      </w:r>
    </w:p>
    <w:bookmarkEnd w:id="702"/>
    <w:bookmarkStart w:name="z723" w:id="703"/>
    <w:p>
      <w:pPr>
        <w:spacing w:after="0"/>
        <w:ind w:left="0"/>
        <w:jc w:val="both"/>
      </w:pPr>
      <w:r>
        <w:rPr>
          <w:rFonts w:ascii="Times New Roman"/>
          <w:b w:val="false"/>
          <w:i w:val="false"/>
          <w:color w:val="000000"/>
          <w:sz w:val="28"/>
        </w:rPr>
        <w:t xml:space="preserve">
      2. Изучение адгезивных функциональных характеристик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можно включить в исследование клинической фармакокинетики (как с однократным, так и многократным дозированием), или оно может являться независимым исследованием с участием либо пациентов, либо добровольцев. Поскольку исследования адгезивных функциональных характеристик должны установить достаточные адгезионные свойства пластыря при применении у целевой популяции, то для изучения адгезии и фармакокинетики могут потребоваться разные виды исследований.</w:t>
      </w:r>
    </w:p>
    <w:bookmarkEnd w:id="703"/>
    <w:bookmarkStart w:name="z724" w:id="704"/>
    <w:p>
      <w:pPr>
        <w:spacing w:after="0"/>
        <w:ind w:left="0"/>
        <w:jc w:val="both"/>
      </w:pPr>
      <w:r>
        <w:rPr>
          <w:rFonts w:ascii="Times New Roman"/>
          <w:b w:val="false"/>
          <w:i w:val="false"/>
          <w:color w:val="000000"/>
          <w:sz w:val="28"/>
        </w:rPr>
        <w:t xml:space="preserve">
      3. При отсутствии иного обоснования в отношении пластырей трансдермальных, представленных в нескольких дозировках,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проводятся с применением пластыря наибольшего размера.</w:t>
      </w:r>
    </w:p>
    <w:bookmarkEnd w:id="704"/>
    <w:bookmarkStart w:name="z725" w:id="705"/>
    <w:p>
      <w:pPr>
        <w:spacing w:after="0"/>
        <w:ind w:left="0"/>
        <w:jc w:val="left"/>
      </w:pPr>
      <w:r>
        <w:rPr>
          <w:rFonts w:ascii="Times New Roman"/>
          <w:b/>
          <w:i w:val="false"/>
          <w:color w:val="000000"/>
        </w:rPr>
        <w:t xml:space="preserve"> 1. Проведение исследования адгезии</w:t>
      </w:r>
    </w:p>
    <w:bookmarkEnd w:id="705"/>
    <w:bookmarkStart w:name="z726" w:id="706"/>
    <w:p>
      <w:pPr>
        <w:spacing w:after="0"/>
        <w:ind w:left="0"/>
        <w:jc w:val="both"/>
      </w:pPr>
      <w:r>
        <w:rPr>
          <w:rFonts w:ascii="Times New Roman"/>
          <w:b w:val="false"/>
          <w:i w:val="false"/>
          <w:color w:val="000000"/>
          <w:sz w:val="28"/>
        </w:rPr>
        <w:t>
      4. Не допускается повторная фиксация пластыря, например, путем сильного надавливания на него. Однако если препарат надлежит использовать в соответствии с общей характеристикой лекарственного препарата с фиксирующей повязкой, предназначенной обеспечивать достаточную адгезию, исследования адгезии необходимо проводить, с использованием этой фиксирующей повязки.</w:t>
      </w:r>
    </w:p>
    <w:bookmarkEnd w:id="706"/>
    <w:bookmarkStart w:name="z727" w:id="707"/>
    <w:p>
      <w:pPr>
        <w:spacing w:after="0"/>
        <w:ind w:left="0"/>
        <w:jc w:val="both"/>
      </w:pPr>
      <w:r>
        <w:rPr>
          <w:rFonts w:ascii="Times New Roman"/>
          <w:b w:val="false"/>
          <w:i w:val="false"/>
          <w:color w:val="000000"/>
          <w:sz w:val="28"/>
        </w:rPr>
        <w:t>
      5. Необходимо указать и обосновать частоту оценки адгезии с указанием временны́х точек нанесения и удаления пластырей трансдермальных. Частота оценки адгезии должна зависеть от времени ношения пластыря. Удовлетворительные и неудовлетворительные функциональные характеристики также можно регистрировать путем фотографирования.</w:t>
      </w:r>
    </w:p>
    <w:bookmarkEnd w:id="707"/>
    <w:bookmarkStart w:name="z728" w:id="708"/>
    <w:p>
      <w:pPr>
        <w:spacing w:after="0"/>
        <w:ind w:left="0"/>
        <w:jc w:val="both"/>
      </w:pPr>
      <w:r>
        <w:rPr>
          <w:rFonts w:ascii="Times New Roman"/>
          <w:b w:val="false"/>
          <w:i w:val="false"/>
          <w:color w:val="000000"/>
          <w:sz w:val="28"/>
        </w:rPr>
        <w:t>
      6. Если адгезия изучается в фармакокинетическом исследовании с многократным дозированием, при расчете размера выборки необходимо учитывать не только значения фармакокинетических конечных точек, но также и значения критериев приемлемости при проверке гипотезы о достаточной адгезии.</w:t>
      </w:r>
    </w:p>
    <w:bookmarkEnd w:id="708"/>
    <w:bookmarkStart w:name="z729" w:id="709"/>
    <w:p>
      <w:pPr>
        <w:spacing w:after="0"/>
        <w:ind w:left="0"/>
        <w:jc w:val="both"/>
      </w:pPr>
      <w:r>
        <w:rPr>
          <w:rFonts w:ascii="Times New Roman"/>
          <w:b w:val="false"/>
          <w:i w:val="false"/>
          <w:color w:val="000000"/>
          <w:sz w:val="28"/>
        </w:rPr>
        <w:t>
      7. В регистрационном досье необходимо представить краткий обзор результатов исследования по каждому исследуемому трансдермальному лекарственному препарату в табличных и графических форматах с пояснениями.</w:t>
      </w:r>
    </w:p>
    <w:bookmarkEnd w:id="709"/>
    <w:bookmarkStart w:name="z730" w:id="710"/>
    <w:p>
      <w:pPr>
        <w:spacing w:after="0"/>
        <w:ind w:left="0"/>
        <w:jc w:val="both"/>
      </w:pPr>
      <w:r>
        <w:rPr>
          <w:rFonts w:ascii="Times New Roman"/>
          <w:b w:val="false"/>
          <w:i w:val="false"/>
          <w:color w:val="000000"/>
          <w:sz w:val="28"/>
        </w:rPr>
        <w:t>
      8. В регистрационном досье необходимо привести индивидуальные значения доли адгезии в зависимости от времени нанесения с соответствующими им описательными статистиками в табличном формате. Обзор средних результатов исследования представляют в табличной форме в соответствии с таблицей 1.</w:t>
      </w:r>
    </w:p>
    <w:bookmarkEnd w:id="710"/>
    <w:bookmarkStart w:name="z731" w:id="711"/>
    <w:p>
      <w:pPr>
        <w:spacing w:after="0"/>
        <w:ind w:left="0"/>
        <w:jc w:val="both"/>
      </w:pPr>
      <w:r>
        <w:rPr>
          <w:rFonts w:ascii="Times New Roman"/>
          <w:b w:val="false"/>
          <w:i w:val="false"/>
          <w:color w:val="000000"/>
          <w:sz w:val="28"/>
        </w:rPr>
        <w:t>
      Таблица 1</w:t>
      </w:r>
    </w:p>
    <w:bookmarkEnd w:id="711"/>
    <w:bookmarkStart w:name="z732" w:id="712"/>
    <w:p>
      <w:pPr>
        <w:spacing w:after="0"/>
        <w:ind w:left="0"/>
        <w:jc w:val="left"/>
      </w:pPr>
      <w:r>
        <w:rPr>
          <w:rFonts w:ascii="Times New Roman"/>
          <w:b/>
          <w:i w:val="false"/>
          <w:color w:val="000000"/>
        </w:rPr>
        <w:t xml:space="preserve"> Обзор результатов исследования кожной адгезии</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5"/>
        <w:gridCol w:w="1415"/>
        <w:gridCol w:w="1345"/>
        <w:gridCol w:w="1325"/>
        <w:gridCol w:w="1345"/>
        <w:gridCol w:w="1325"/>
        <w:gridCol w:w="1346"/>
        <w:gridCol w:w="1327"/>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точка оценки,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(R) №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(T) №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или равно 90 %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или равно 80 %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или равно 70 %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или равно 60 %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или равно 50 %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менее 50 %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713"/>
    <w:p>
      <w:pPr>
        <w:spacing w:after="0"/>
        <w:ind w:left="0"/>
        <w:jc w:val="both"/>
      </w:pPr>
      <w:r>
        <w:rPr>
          <w:rFonts w:ascii="Times New Roman"/>
          <w:b w:val="false"/>
          <w:i w:val="false"/>
          <w:color w:val="000000"/>
          <w:sz w:val="28"/>
        </w:rPr>
        <w:t>
      9. В дополнение к табличным данным по индивидуальным и средним долям адгезии в зависимости от времени нанесения в регистрационном досье необходимо представить гистограмму адгезивности в 2 исследуемых группах.</w:t>
      </w:r>
    </w:p>
    <w:bookmarkEnd w:id="713"/>
    <w:bookmarkStart w:name="z734" w:id="714"/>
    <w:p>
      <w:pPr>
        <w:spacing w:after="0"/>
        <w:ind w:left="0"/>
        <w:jc w:val="left"/>
      </w:pPr>
      <w:r>
        <w:rPr>
          <w:rFonts w:ascii="Times New Roman"/>
          <w:b/>
          <w:i w:val="false"/>
          <w:color w:val="000000"/>
        </w:rPr>
        <w:t xml:space="preserve"> 2. Критерии оценки адгезии</w:t>
      </w:r>
    </w:p>
    <w:bookmarkEnd w:id="714"/>
    <w:bookmarkStart w:name="z735" w:id="715"/>
    <w:p>
      <w:pPr>
        <w:spacing w:after="0"/>
        <w:ind w:left="0"/>
        <w:jc w:val="both"/>
      </w:pPr>
      <w:r>
        <w:rPr>
          <w:rFonts w:ascii="Times New Roman"/>
          <w:b w:val="false"/>
          <w:i w:val="false"/>
          <w:color w:val="000000"/>
          <w:sz w:val="28"/>
        </w:rPr>
        <w:t xml:space="preserve">
      10. Адгезию количественно выражают через долю (процент) площади кожи, на которой пластырь остается в наклеенном состоянии в конце интервала дозирования. </w:t>
      </w:r>
    </w:p>
    <w:bookmarkEnd w:id="715"/>
    <w:bookmarkStart w:name="z736" w:id="716"/>
    <w:p>
      <w:pPr>
        <w:spacing w:after="0"/>
        <w:ind w:left="0"/>
        <w:jc w:val="both"/>
      </w:pPr>
      <w:r>
        <w:rPr>
          <w:rFonts w:ascii="Times New Roman"/>
          <w:b w:val="false"/>
          <w:i w:val="false"/>
          <w:color w:val="000000"/>
          <w:sz w:val="28"/>
        </w:rPr>
        <w:t>
      11. Основные критерии оценки адгезии:</w:t>
      </w:r>
    </w:p>
    <w:bookmarkEnd w:id="716"/>
    <w:bookmarkStart w:name="z737" w:id="717"/>
    <w:p>
      <w:pPr>
        <w:spacing w:after="0"/>
        <w:ind w:left="0"/>
        <w:jc w:val="both"/>
      </w:pPr>
      <w:r>
        <w:rPr>
          <w:rFonts w:ascii="Times New Roman"/>
          <w:b w:val="false"/>
          <w:i w:val="false"/>
          <w:color w:val="000000"/>
          <w:sz w:val="28"/>
        </w:rPr>
        <w:t>
      а) адгезия считается приемлемой, если 90-процентный доверительный интервал средней площади участка кожи на котором в конце интервала дозирования исследуемый пластырь остается в наклеенном состоянии, превышает 90 % от величины первоначальной площади прикрепления пластыря. Любое несоблюдение данного требования необходимо обосновать, принимая во внимание все потенциальные риски, обусловленные неполным прикреплением пластыря;</w:t>
      </w:r>
    </w:p>
    <w:bookmarkEnd w:id="717"/>
    <w:bookmarkStart w:name="z738" w:id="718"/>
    <w:p>
      <w:pPr>
        <w:spacing w:after="0"/>
        <w:ind w:left="0"/>
        <w:jc w:val="both"/>
      </w:pPr>
      <w:r>
        <w:rPr>
          <w:rFonts w:ascii="Times New Roman"/>
          <w:b w:val="false"/>
          <w:i w:val="false"/>
          <w:color w:val="000000"/>
          <w:sz w:val="28"/>
        </w:rPr>
        <w:t>
      б) если предполагается, что выполнение требования подпункта "б" настоящего пункта маловероятно, можно установить не меньшую эффективность исследуемого трансдермального лекарственного препарата по отношению к референтному трансдермальному лекарственному препарату. Это возможно, если референтный трансдермальный лекарственный препарат сам по себе слабо прикрепляется (меньше 90 %). Нижняя граница 90-процентного доверительного интервала разницы адгезивности, рассчитанного по доле адгезии как непрерывной переменной (исследуемый лекарственный препарат минус референтный лекарственный препарат), не должна быть меньше 10 %.</w:t>
      </w:r>
    </w:p>
    <w:bookmarkEnd w:id="718"/>
    <w:bookmarkStart w:name="z739" w:id="719"/>
    <w:p>
      <w:pPr>
        <w:spacing w:after="0"/>
        <w:ind w:left="0"/>
        <w:jc w:val="both"/>
      </w:pPr>
      <w:r>
        <w:rPr>
          <w:rFonts w:ascii="Times New Roman"/>
          <w:b w:val="false"/>
          <w:i w:val="false"/>
          <w:color w:val="000000"/>
          <w:sz w:val="28"/>
        </w:rPr>
        <w:t>
      12. Кроме того, необходимо оценить и сравнить:</w:t>
      </w:r>
    </w:p>
    <w:bookmarkEnd w:id="719"/>
    <w:bookmarkStart w:name="z740" w:id="720"/>
    <w:p>
      <w:pPr>
        <w:spacing w:after="0"/>
        <w:ind w:left="0"/>
        <w:jc w:val="both"/>
      </w:pPr>
      <w:r>
        <w:rPr>
          <w:rFonts w:ascii="Times New Roman"/>
          <w:b w:val="false"/>
          <w:i w:val="false"/>
          <w:color w:val="000000"/>
          <w:sz w:val="28"/>
        </w:rPr>
        <w:t>
      долю адгезии во всех временны́х точках, чтобы оценить динамику изменения адгезии в ходе исследования;</w:t>
      </w:r>
    </w:p>
    <w:bookmarkEnd w:id="720"/>
    <w:bookmarkStart w:name="z741" w:id="721"/>
    <w:p>
      <w:pPr>
        <w:spacing w:after="0"/>
        <w:ind w:left="0"/>
        <w:jc w:val="both"/>
      </w:pPr>
      <w:r>
        <w:rPr>
          <w:rFonts w:ascii="Times New Roman"/>
          <w:b w:val="false"/>
          <w:i w:val="false"/>
          <w:color w:val="000000"/>
          <w:sz w:val="28"/>
        </w:rPr>
        <w:t>
      долю субъектов, сохраняющих более чем 90-процентное прикрепление в каждой оцениваемой временной точке;</w:t>
      </w:r>
    </w:p>
    <w:bookmarkEnd w:id="721"/>
    <w:bookmarkStart w:name="z742" w:id="722"/>
    <w:p>
      <w:pPr>
        <w:spacing w:after="0"/>
        <w:ind w:left="0"/>
        <w:jc w:val="both"/>
      </w:pPr>
      <w:r>
        <w:rPr>
          <w:rFonts w:ascii="Times New Roman"/>
          <w:b w:val="false"/>
          <w:i w:val="false"/>
          <w:color w:val="000000"/>
          <w:sz w:val="28"/>
        </w:rPr>
        <w:t>
      долю субъектов со значимой степенью отклеивания (отрыв от кожи или отклеивание более половины пластыря) каждого исследуемого лекарственного препарата во всех временны́х точках;</w:t>
      </w:r>
    </w:p>
    <w:bookmarkEnd w:id="722"/>
    <w:bookmarkStart w:name="z743" w:id="723"/>
    <w:p>
      <w:pPr>
        <w:spacing w:after="0"/>
        <w:ind w:left="0"/>
        <w:jc w:val="both"/>
      </w:pPr>
      <w:r>
        <w:rPr>
          <w:rFonts w:ascii="Times New Roman"/>
          <w:b w:val="false"/>
          <w:i w:val="false"/>
          <w:color w:val="000000"/>
          <w:sz w:val="28"/>
        </w:rPr>
        <w:t>
      число полностью отклеившихся пластырей в каждой временно́й точке.</w:t>
      </w:r>
    </w:p>
    <w:bookmarkEnd w:id="723"/>
    <w:bookmarkStart w:name="z744" w:id="724"/>
    <w:p>
      <w:pPr>
        <w:spacing w:after="0"/>
        <w:ind w:left="0"/>
        <w:jc w:val="both"/>
      </w:pPr>
      <w:r>
        <w:rPr>
          <w:rFonts w:ascii="Times New Roman"/>
          <w:b w:val="false"/>
          <w:i w:val="false"/>
          <w:color w:val="000000"/>
          <w:sz w:val="28"/>
        </w:rPr>
        <w:t>
      Также необходимо проанализировать случаи полного отклеивания и слабого прикрепления пластырей с установлением возможных причин и факторов риска.</w:t>
      </w:r>
    </w:p>
    <w:bookmarkEnd w:id="724"/>
    <w:bookmarkStart w:name="z745" w:id="725"/>
    <w:p>
      <w:pPr>
        <w:spacing w:after="0"/>
        <w:ind w:left="0"/>
        <w:jc w:val="both"/>
      </w:pPr>
      <w:r>
        <w:rPr>
          <w:rFonts w:ascii="Times New Roman"/>
          <w:b w:val="false"/>
          <w:i w:val="false"/>
          <w:color w:val="000000"/>
          <w:sz w:val="28"/>
        </w:rPr>
        <w:t>
      13. При качественной оценке адгезии необходимо учитывать следующие факторы:</w:t>
      </w:r>
    </w:p>
    <w:bookmarkEnd w:id="725"/>
    <w:bookmarkStart w:name="z746" w:id="726"/>
    <w:p>
      <w:pPr>
        <w:spacing w:after="0"/>
        <w:ind w:left="0"/>
        <w:jc w:val="both"/>
      </w:pPr>
      <w:r>
        <w:rPr>
          <w:rFonts w:ascii="Times New Roman"/>
          <w:b w:val="false"/>
          <w:i w:val="false"/>
          <w:color w:val="000000"/>
          <w:sz w:val="28"/>
        </w:rPr>
        <w:t>
      наличие остатков действующего вещества при удалении высвобождающего слоя и пластыря трансдермального;</w:t>
      </w:r>
    </w:p>
    <w:bookmarkEnd w:id="726"/>
    <w:bookmarkStart w:name="z747" w:id="727"/>
    <w:p>
      <w:pPr>
        <w:spacing w:after="0"/>
        <w:ind w:left="0"/>
        <w:jc w:val="both"/>
      </w:pPr>
      <w:r>
        <w:rPr>
          <w:rFonts w:ascii="Times New Roman"/>
          <w:b w:val="false"/>
          <w:i w:val="false"/>
          <w:color w:val="000000"/>
          <w:sz w:val="28"/>
        </w:rPr>
        <w:t>
      вытекание адгезивного вещества из-под пластыря, что может привести, например, к образованию темного кольца вокруг пластыря трансдермального, подвижности или отклеиванию пластыря, образованию складок.</w:t>
      </w:r>
    </w:p>
    <w:bookmarkEnd w:id="727"/>
    <w:bookmarkStart w:name="z748" w:id="728"/>
    <w:p>
      <w:pPr>
        <w:spacing w:after="0"/>
        <w:ind w:left="0"/>
        <w:jc w:val="both"/>
      </w:pPr>
      <w:r>
        <w:rPr>
          <w:rFonts w:ascii="Times New Roman"/>
          <w:b w:val="false"/>
          <w:i w:val="false"/>
          <w:color w:val="000000"/>
          <w:sz w:val="28"/>
        </w:rPr>
        <w:t xml:space="preserve">
      Результаты исследования необходимо внести в общую характеристику лекарственного препарата. </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750" w:id="729"/>
    <w:p>
      <w:pPr>
        <w:spacing w:after="0"/>
        <w:ind w:left="0"/>
        <w:jc w:val="left"/>
      </w:pPr>
      <w:r>
        <w:rPr>
          <w:rFonts w:ascii="Times New Roman"/>
          <w:b/>
          <w:i w:val="false"/>
          <w:color w:val="000000"/>
        </w:rPr>
        <w:t xml:space="preserve"> УКАЗАНИЯ</w:t>
      </w:r>
      <w:r>
        <w:br/>
      </w:r>
      <w:r>
        <w:rPr>
          <w:rFonts w:ascii="Times New Roman"/>
          <w:b/>
          <w:i w:val="false"/>
          <w:color w:val="000000"/>
        </w:rPr>
        <w:t>по определению корреляции данных, полученных in vitro и in vivo</w:t>
      </w:r>
    </w:p>
    <w:bookmarkEnd w:id="729"/>
    <w:bookmarkStart w:name="z751" w:id="730"/>
    <w:p>
      <w:pPr>
        <w:spacing w:after="0"/>
        <w:ind w:left="0"/>
        <w:jc w:val="left"/>
      </w:pPr>
      <w:r>
        <w:rPr>
          <w:rFonts w:ascii="Times New Roman"/>
          <w:b/>
          <w:i w:val="false"/>
          <w:color w:val="000000"/>
        </w:rPr>
        <w:t xml:space="preserve"> I. Общие положения</w:t>
      </w:r>
    </w:p>
    <w:bookmarkEnd w:id="730"/>
    <w:bookmarkStart w:name="z752" w:id="731"/>
    <w:p>
      <w:pPr>
        <w:spacing w:after="0"/>
        <w:ind w:left="0"/>
        <w:jc w:val="both"/>
      </w:pPr>
      <w:r>
        <w:rPr>
          <w:rFonts w:ascii="Times New Roman"/>
          <w:b w:val="false"/>
          <w:i w:val="false"/>
          <w:color w:val="000000"/>
          <w:sz w:val="28"/>
        </w:rPr>
        <w:t xml:space="preserve">
      1. Корреляция данных, полученных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 это математическая модель, характеризующая зависимость между свойством лекарственной формы (главным образом растворением или высвобождением действующего вещества), установленным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соответствующим ответом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(главным образом плазменной концентрацией действующего вещества или его абсорбированным количеством). Подобная зависимость возникает, только если высвобождение действующего вещества из лекарственного препарата позволяет контролировать скорость появления действующего вещества в плазме.</w:t>
      </w:r>
    </w:p>
    <w:bookmarkEnd w:id="731"/>
    <w:bookmarkStart w:name="z753" w:id="732"/>
    <w:p>
      <w:pPr>
        <w:spacing w:after="0"/>
        <w:ind w:left="0"/>
        <w:jc w:val="both"/>
      </w:pPr>
      <w:r>
        <w:rPr>
          <w:rFonts w:ascii="Times New Roman"/>
          <w:b w:val="false"/>
          <w:i w:val="false"/>
          <w:color w:val="000000"/>
          <w:sz w:val="28"/>
        </w:rPr>
        <w:t>
      2. При разработке лекарственного препарата с модифицированным высвобождением рекомендуется изучить IVIVC:</w:t>
      </w:r>
    </w:p>
    <w:bookmarkEnd w:id="732"/>
    <w:bookmarkStart w:name="z754" w:id="733"/>
    <w:p>
      <w:pPr>
        <w:spacing w:after="0"/>
        <w:ind w:left="0"/>
        <w:jc w:val="both"/>
      </w:pPr>
      <w:r>
        <w:rPr>
          <w:rFonts w:ascii="Times New Roman"/>
          <w:b w:val="false"/>
          <w:i w:val="false"/>
          <w:color w:val="000000"/>
          <w:sz w:val="28"/>
        </w:rPr>
        <w:t xml:space="preserve">
      а) для определения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действующего вещества из лекарственного препарата и влияния лекарственной формы на абсорбцию действующего вещества;</w:t>
      </w:r>
    </w:p>
    <w:bookmarkEnd w:id="733"/>
    <w:bookmarkStart w:name="z755" w:id="734"/>
    <w:p>
      <w:pPr>
        <w:spacing w:after="0"/>
        <w:ind w:left="0"/>
        <w:jc w:val="both"/>
      </w:pPr>
      <w:r>
        <w:rPr>
          <w:rFonts w:ascii="Times New Roman"/>
          <w:b w:val="false"/>
          <w:i w:val="false"/>
          <w:color w:val="000000"/>
          <w:sz w:val="28"/>
        </w:rPr>
        <w:t xml:space="preserve">
      б) для установления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значимости полученных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результатов испытаний на растворение и выбора соответствующих показателей в спецификаций на растворение;</w:t>
      </w:r>
    </w:p>
    <w:bookmarkEnd w:id="734"/>
    <w:bookmarkStart w:name="z756" w:id="735"/>
    <w:p>
      <w:pPr>
        <w:spacing w:after="0"/>
        <w:ind w:left="0"/>
        <w:jc w:val="both"/>
      </w:pPr>
      <w:r>
        <w:rPr>
          <w:rFonts w:ascii="Times New Roman"/>
          <w:b w:val="false"/>
          <w:i w:val="false"/>
          <w:color w:val="000000"/>
          <w:sz w:val="28"/>
        </w:rPr>
        <w:t>
      в) для обоснования проведения биовейвера на поздних фазах клинической разработки лекарственного препарата или на пострегистрационном этапе при изменении состава лекарственной формы.</w:t>
      </w:r>
    </w:p>
    <w:bookmarkEnd w:id="735"/>
    <w:bookmarkStart w:name="z757" w:id="736"/>
    <w:p>
      <w:pPr>
        <w:spacing w:after="0"/>
        <w:ind w:left="0"/>
        <w:jc w:val="both"/>
      </w:pPr>
      <w:r>
        <w:rPr>
          <w:rFonts w:ascii="Times New Roman"/>
          <w:b w:val="false"/>
          <w:i w:val="false"/>
          <w:color w:val="000000"/>
          <w:sz w:val="28"/>
        </w:rPr>
        <w:t xml:space="preserve">
      3. Выделяют несколько уровней IVIVC: A, B и C. Уровень A IVIVC, в отличие от уровней B и C, позволяет установить поточечную зависимость между кривой растворения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профилем "концентрация – время"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является желательным уровнем для лекарственных препаратов с модифицированным высвобождением. Если IVIVC используется в целях проведения биовейвера, достижение корреляции уровня A является обязательным условием.</w:t>
      </w:r>
    </w:p>
    <w:bookmarkEnd w:id="736"/>
    <w:bookmarkStart w:name="z758" w:id="737"/>
    <w:p>
      <w:pPr>
        <w:spacing w:after="0"/>
        <w:ind w:left="0"/>
        <w:jc w:val="both"/>
      </w:pPr>
      <w:r>
        <w:rPr>
          <w:rFonts w:ascii="Times New Roman"/>
          <w:b w:val="false"/>
          <w:i w:val="false"/>
          <w:color w:val="000000"/>
          <w:sz w:val="28"/>
        </w:rPr>
        <w:t xml:space="preserve">
      4. Пригодность IVIVC зависит от того, насколько точно она прогнозирует достигаемую плазменную концентрацию из любого множества данных, полученных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Это в свою очередь в значительной степени зависит от дизайна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использованных для установления и валидации IVIVC.</w:t>
      </w:r>
    </w:p>
    <w:bookmarkEnd w:id="737"/>
    <w:bookmarkStart w:name="z759" w:id="738"/>
    <w:p>
      <w:pPr>
        <w:spacing w:after="0"/>
        <w:ind w:left="0"/>
        <w:jc w:val="left"/>
      </w:pPr>
      <w:r>
        <w:rPr>
          <w:rFonts w:ascii="Times New Roman"/>
          <w:b/>
          <w:i w:val="false"/>
          <w:color w:val="000000"/>
        </w:rPr>
        <w:t xml:space="preserve"> II. Дизайн исследования</w:t>
      </w:r>
    </w:p>
    <w:bookmarkEnd w:id="738"/>
    <w:bookmarkStart w:name="z760" w:id="739"/>
    <w:p>
      <w:pPr>
        <w:spacing w:after="0"/>
        <w:ind w:left="0"/>
        <w:jc w:val="both"/>
      </w:pPr>
      <w:r>
        <w:rPr>
          <w:rFonts w:ascii="Times New Roman"/>
          <w:b w:val="false"/>
          <w:i w:val="false"/>
          <w:color w:val="000000"/>
          <w:sz w:val="28"/>
        </w:rPr>
        <w:t xml:space="preserve">
      5. В перекрестном исследовании здоровым добровольцам дают 2 или более лекарственных препарата с одинаковым механизмом высвобождения с различающимися профилями растворения и подходящую лекарственную форму референтного лекарственного препарата (в целях деконволюции) с быстрым высвобождением действующего вещества (например, раствор для приема внутрь или лекарственный препарат с обычным высвобождением). Также могут быть предусмотрены альтернативные дизайны исследования (например, параллельный, рандомизированный либо частично, либо полностью), выбор которых осуществляется в зависимости от свойств лекарственного препарата с модифицированным высвобождением, вариабельности фармакокинетических показателей действующего вещества, переносимости этого действующего вещества и т.д. Исследование IVIVC лекарственного препарата с модифицированным высвобождением проводят натощак, даже если этот препарат рекомендуется принимать с пищей. Содержание действующего вещества в плазме или крови (исходного вещества или иного подходящего аналита)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w:t>
      </w:r>
    </w:p>
    <w:bookmarkEnd w:id="739"/>
    <w:bookmarkStart w:name="z761" w:id="740"/>
    <w:p>
      <w:pPr>
        <w:spacing w:after="0"/>
        <w:ind w:left="0"/>
        <w:jc w:val="both"/>
      </w:pPr>
      <w:r>
        <w:rPr>
          <w:rFonts w:ascii="Times New Roman"/>
          <w:b w:val="false"/>
          <w:i w:val="false"/>
          <w:color w:val="000000"/>
          <w:sz w:val="28"/>
        </w:rPr>
        <w:t xml:space="preserve">
      6. Не допускается экстраполяция вне изученного диапазона для препаратов, использованных для создания и валидации IVIVC в целях регистрации и контроля за обращением этих лекарственных препаратов (например, при составлении спецификаций на них или проведении при регистрации биовейвера). Таким образом, выбор лекарственных препаратов для оценки требует тщательного анализа с учетом таких факторов, как механизм высвобождения действующего вещества, способ обеспечения достаточных различий между лекарственными препаратами и др.) в соответствии с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препаратов в лекарственной форме с модифицированным высвобождением для приема внутрь (приложение к Рекомендации Коллегии Евразийской экономической комиссии от 16 января 2018 г. № 2). Поскольку чувствительность профиля "концентрация – время" любого действующего вещества зависит от его собственных фармакокинетических свойств, выбор препаратов должен основываться на ожидаемом профиле "плазменная концентрация – время" (имитация использования теоретической зависимости IVIVC или множества потенциальных зависимостей и известных фармакокинетических свойств действующего вещества).</w:t>
      </w:r>
    </w:p>
    <w:bookmarkEnd w:id="740"/>
    <w:bookmarkStart w:name="z762" w:id="741"/>
    <w:p>
      <w:pPr>
        <w:spacing w:after="0"/>
        <w:ind w:left="0"/>
        <w:jc w:val="both"/>
      </w:pPr>
      <w:r>
        <w:rPr>
          <w:rFonts w:ascii="Times New Roman"/>
          <w:b w:val="false"/>
          <w:i w:val="false"/>
          <w:color w:val="000000"/>
          <w:sz w:val="28"/>
        </w:rPr>
        <w:t>
      7. Различные дозировки одного и того же лекарственного препарата, как правило, не рассматриваются в качестве представляющих различные скорости высвобождения, несмотря на то, что разрешается использование различных дозировок для установления IVIVC или оценки внешней прогнозируемости. По этой причине оценка различия профилей растворения разных препаратов, как правило, основывается на проценте от номинального (или фактического) содержания действующего вещества.</w:t>
      </w:r>
    </w:p>
    <w:bookmarkEnd w:id="741"/>
    <w:bookmarkStart w:name="z763" w:id="742"/>
    <w:p>
      <w:pPr>
        <w:spacing w:after="0"/>
        <w:ind w:left="0"/>
        <w:jc w:val="left"/>
      </w:pPr>
      <w:r>
        <w:rPr>
          <w:rFonts w:ascii="Times New Roman"/>
          <w:b/>
          <w:i w:val="false"/>
          <w:color w:val="000000"/>
        </w:rPr>
        <w:t xml:space="preserve"> 1. Выбор подходящей лекарственной формы референтного лекарственного препарата для деконволюции</w:t>
      </w:r>
    </w:p>
    <w:bookmarkEnd w:id="742"/>
    <w:bookmarkStart w:name="z764" w:id="743"/>
    <w:p>
      <w:pPr>
        <w:spacing w:after="0"/>
        <w:ind w:left="0"/>
        <w:jc w:val="both"/>
      </w:pPr>
      <w:r>
        <w:rPr>
          <w:rFonts w:ascii="Times New Roman"/>
          <w:b w:val="false"/>
          <w:i w:val="false"/>
          <w:color w:val="000000"/>
          <w:sz w:val="28"/>
        </w:rPr>
        <w:t xml:space="preserve">
      8. Лекарственная форма референтного лекарственного препарата для деконволюции – это препарат с быстрым высвобождением, включенный в исследования IVIVC с целью оценки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как функции от времени из каждого исследуемого лекарственного препарата с модифицированным высвобождением. Профиль "высвобождение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 время" лекарственных препаратов с модифицированным высвобождением для приема внутрь, как правило, получают путем деконволюции. Он отражает истинное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только если лекарственной формой референтного лекарственного препарата является раствор для приема внутрь (в желудке и желудочно-кишечном тракте этот раствор не образует осадка). Если скорость растворения препарата с обычным высвобождением превышает его абсорбцию (что, как правило, выдерживается для действующих веществ, выбранных для разработки лекарственного препарата с модифицированным высвобождением), в качестве лекарственной формы референтного лекарственного препарата в исследованиях разрешается использовать лекарственные препараты с обычным высвобождением, высвобождение действующего вещества из которых близко к высвобождению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из лекарственных препаратов с модифицированным высвобождением. В некоторых случаях в качестве лекарственной формы референтного лекарственного препарата для IVIVC используется лекарственный препарат для внутривенного введения, который также позволяет добиться близких по отношению к лекарственному препарату с модифицированным высвобождением показателей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если абсорбция лекарственного препарата для внутривенного введения достаточно быстрая (например, у действующих веществ с высокой проникающей способностью). Если проникающая способность действующего вещества в дополнение к его высвобождению из лекарственного препарата влияет на скорость абсорбции действующего вещества из лекарственных препаратов с модифицированным высвобождением, оптимальной лекарственной формой референтного лекарственного препарата является раствор для приема внутрь предпочтительнее, чем лекарственный препарат для внутривенного введения и лекарственный препарат с обычным высвобождением). В отношении действующих веществ с низкой растворимостью и (или) проникающей способностью, особенно если проникающая способность изменяется на протяжении желудочно-кишечного тракта, ценность могут представлять подходы к IVIVC, основанные на физиологически обоснованной фармакокинетической модели (далее – ФКОФ-модель). </w:t>
      </w:r>
    </w:p>
    <w:bookmarkEnd w:id="743"/>
    <w:bookmarkStart w:name="z765" w:id="744"/>
    <w:p>
      <w:pPr>
        <w:spacing w:after="0"/>
        <w:ind w:left="0"/>
        <w:jc w:val="both"/>
      </w:pPr>
      <w:r>
        <w:rPr>
          <w:rFonts w:ascii="Times New Roman"/>
          <w:b w:val="false"/>
          <w:i w:val="false"/>
          <w:color w:val="000000"/>
          <w:sz w:val="28"/>
        </w:rPr>
        <w:t xml:space="preserve">
      9. Подходящей лекарственной формой референтного лекарственного препарата при оценке IVIVC внутримышечных (подкожных) депо-препаратов является водный раствор, вводимый (предпочтительно) тем же путем что и внутримышечный (подкожный) депо-препарат, или лекарственный препарат для внутривенного введения. Надлежащей лекарственной формой референтного лекарственного препарата для систем трансдермальной доставки является препарат для внутривенного введения. </w:t>
      </w:r>
    </w:p>
    <w:bookmarkEnd w:id="744"/>
    <w:bookmarkStart w:name="z766" w:id="745"/>
    <w:p>
      <w:pPr>
        <w:spacing w:after="0"/>
        <w:ind w:left="0"/>
        <w:jc w:val="both"/>
      </w:pPr>
      <w:r>
        <w:rPr>
          <w:rFonts w:ascii="Times New Roman"/>
          <w:b w:val="false"/>
          <w:i w:val="false"/>
          <w:color w:val="000000"/>
          <w:sz w:val="28"/>
        </w:rPr>
        <w:t>
      10. Выбранную лекарственную форму референтного лекарственного препарата необходимо включать в каждое исследование, данные которого будут использованы для установления IVIVC, а также оценки внутренней или внешней прогнозируемости изменения концентрации действующего вещества. Преимуществом включения выбранной лекарственной формы референтного лекарственного препарата в исследования IVIVC является повышение вероятности успешного установления и валидации IVIVC, особенно для целей внешней оценки прогнозируемости концентрации действующего вещества. Надлежащим образом выбранная лекарственная форма референтного лекарственного препарата является одним из наиболее важных элементов дизайна успешной IVIVC, поскольку она позволяет в индивидуальном порядке нормализовать различия в фармакокинетике действующего вещества. Лекарственная форма референтного лекарственного препарата включается в каждый метод анализа данных, как при внутренней, так и внешней валидации и особенно важно, если межиндивидуальная вариабельность является умеренной или высокой, а число субъектов исследования ее не компенсирует. Если вариабельность низкая и (или) число субъектов достаточно большое, возможно установить и успешно валидировать IVIVC без использования выбранной лекарственной формы референтного лекарственного препарата (например, путем использования данных научной литературы или ранее созданной модели популяционной фармакокинетики). В целях принятия информированного решения ее оптимально устанавливать с помощью симуляционного моделирования, используя известную вариабельность фармакокинетических показателей и предлагаемый дизайн исследования. В отношении воспроизведенных препаратов с модифицированным высвобождением можно использовать лекарственную форму референтного лекарственного препарата с модифицированным высвобождением с целью нормализации различий в клиренсе действующих веществ лекарственных препаратов у разных субъектов исследования, однако этот способ менее надежен. Данную стратегию можно также оценить посредством симуляции, принимая во внимание вариабельность выбранной лекарственной формы референтного лекарственного препарата и других референтных препаратов с модифицированным высвобождением.</w:t>
      </w:r>
    </w:p>
    <w:bookmarkEnd w:id="745"/>
    <w:bookmarkStart w:name="z767" w:id="746"/>
    <w:p>
      <w:pPr>
        <w:spacing w:after="0"/>
        <w:ind w:left="0"/>
        <w:jc w:val="left"/>
      </w:pPr>
      <w:r>
        <w:rPr>
          <w:rFonts w:ascii="Times New Roman"/>
          <w:b/>
          <w:i w:val="false"/>
          <w:color w:val="000000"/>
        </w:rPr>
        <w:t xml:space="preserve"> 2. Время отбора образцов</w:t>
      </w:r>
    </w:p>
    <w:bookmarkEnd w:id="746"/>
    <w:bookmarkStart w:name="z768" w:id="747"/>
    <w:p>
      <w:pPr>
        <w:spacing w:after="0"/>
        <w:ind w:left="0"/>
        <w:jc w:val="both"/>
      </w:pPr>
      <w:r>
        <w:rPr>
          <w:rFonts w:ascii="Times New Roman"/>
          <w:b w:val="false"/>
          <w:i w:val="false"/>
          <w:color w:val="000000"/>
          <w:sz w:val="28"/>
        </w:rPr>
        <w:t xml:space="preserve">
      11. Вопросы выбора временны́х точек отбора образцов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рассматриваются в Руководстве по качеству лекарственных препаратов для приема внутрь с модифицированным высвобождением. При выборе временны́х точек отбора образцов в исследованиях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образцов крови (плазмы)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необходимо учитывать то, что данные в анализе IVIVC будут объединены. Поэтому рекомендуется придерживаться целостного подхода при планировании исследования IVIVC (включая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747"/>
    <w:bookmarkStart w:name="z769" w:id="748"/>
    <w:p>
      <w:pPr>
        <w:spacing w:after="0"/>
        <w:ind w:left="0"/>
        <w:jc w:val="both"/>
      </w:pPr>
      <w:r>
        <w:rPr>
          <w:rFonts w:ascii="Times New Roman"/>
          <w:b w:val="false"/>
          <w:i w:val="false"/>
          <w:color w:val="000000"/>
          <w:sz w:val="28"/>
        </w:rPr>
        <w:t xml:space="preserve">
      12. Выбор временны́х точек отбора образцов крови (плазмы) лучше всего принимать на основании моделирования с использованием фактических (или моделированных) данных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клинических серий, произведенных для целей исследования IVIVC. Если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влияют показатель pH или скорость вращения лопастной мешалки (корзинки), число погружений в минуту (dpm) или скорость потока (в зависимости от вида аппарата), целесообразно осуществлять моделирование, используя множество профилей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целях составления режима отбора образцов для охвата множества потенциальных вариантов поведения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Кроме того, при наличии некоторого предварительного понимания вероятной зависимости IVIVC, ее лучше встроить в начальное моделирование. Например, в отношении препаратов с контролируемым высвобождением, вводимых инъекционным путем, испытание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стандартной методике проводят в течение 24 – 48 часов, тогда как предполагаемая продолжительность поступления действующего вещества лекарственного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составляет 1 – 2 месяца. Таким образом, для создания более реалистичной картины ожидаемого поступления действующего вещества в организм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лучшего выбора надлежащих временны́х точек отбора образцов исследуемых препаратов, временной фактор (или, в целях учета неопределенности ожидаемого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несколько факторов) можно определить заранее и включить в модель.</w:t>
      </w:r>
    </w:p>
    <w:bookmarkEnd w:id="748"/>
    <w:bookmarkStart w:name="z770" w:id="749"/>
    <w:p>
      <w:pPr>
        <w:spacing w:after="0"/>
        <w:ind w:left="0"/>
        <w:jc w:val="left"/>
      </w:pPr>
      <w:r>
        <w:rPr>
          <w:rFonts w:ascii="Times New Roman"/>
          <w:b/>
          <w:i w:val="false"/>
          <w:color w:val="000000"/>
        </w:rPr>
        <w:t xml:space="preserve"> 3. Количество субъектов исследования</w:t>
      </w:r>
    </w:p>
    <w:bookmarkEnd w:id="749"/>
    <w:bookmarkStart w:name="z771" w:id="750"/>
    <w:p>
      <w:pPr>
        <w:spacing w:after="0"/>
        <w:ind w:left="0"/>
        <w:jc w:val="both"/>
      </w:pPr>
      <w:r>
        <w:rPr>
          <w:rFonts w:ascii="Times New Roman"/>
          <w:b w:val="false"/>
          <w:i w:val="false"/>
          <w:color w:val="000000"/>
          <w:sz w:val="28"/>
        </w:rPr>
        <w:t>
      13. Количество субъектов, подлежащее включению в исследование IVIVC, зависит от межиндивидуальной вариабельности и внутрииндивидуальной вариабельности абсорбции и фармакокинетики действующего вещества лекарственного препарата. Несмотря на невозможность дать четкие рекомендации, прагматичным подходом является включение в перекрестное исследование IVIVC не менее 12 субъектов.</w:t>
      </w:r>
    </w:p>
    <w:bookmarkEnd w:id="750"/>
    <w:bookmarkStart w:name="z772" w:id="751"/>
    <w:p>
      <w:pPr>
        <w:spacing w:after="0"/>
        <w:ind w:left="0"/>
        <w:jc w:val="left"/>
      </w:pPr>
      <w:r>
        <w:rPr>
          <w:rFonts w:ascii="Times New Roman"/>
          <w:b/>
          <w:i w:val="false"/>
          <w:color w:val="000000"/>
        </w:rPr>
        <w:t xml:space="preserve"> III. Установление и валидация IVIVC</w:t>
      </w:r>
    </w:p>
    <w:bookmarkEnd w:id="751"/>
    <w:bookmarkStart w:name="z773" w:id="752"/>
    <w:p>
      <w:pPr>
        <w:spacing w:after="0"/>
        <w:ind w:left="0"/>
        <w:jc w:val="left"/>
      </w:pPr>
      <w:r>
        <w:rPr>
          <w:rFonts w:ascii="Times New Roman"/>
          <w:b/>
          <w:i w:val="false"/>
          <w:color w:val="000000"/>
        </w:rPr>
        <w:t xml:space="preserve"> 1. Общие положения</w:t>
      </w:r>
    </w:p>
    <w:bookmarkEnd w:id="752"/>
    <w:bookmarkStart w:name="z774" w:id="753"/>
    <w:p>
      <w:pPr>
        <w:spacing w:after="0"/>
        <w:ind w:left="0"/>
        <w:jc w:val="both"/>
      </w:pPr>
      <w:r>
        <w:rPr>
          <w:rFonts w:ascii="Times New Roman"/>
          <w:b w:val="false"/>
          <w:i w:val="false"/>
          <w:color w:val="000000"/>
          <w:sz w:val="28"/>
        </w:rPr>
        <w:t xml:space="preserve">
      14. Конечной целью установления IVIVC является надежное прогнозирование динамики изменения плазменной концентрации во времени препарата с модифицированным высвобождением на основании данных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принципе, для этих целей допустимо использовать любой научно обоснованный метод исследования. Так как методы исследования продолжают развиваться, перечень приемлемых методов не рассматривается в качестве исчерпывающего. Поскольку целью установления IVIVC является прогнозирование с помощью различных данных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без получения данных о плазменной концентрации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достигаемой после применения препарата с модифицированным высвобождением, обязательным условием является применимость одной зависимости IVIVC ко всем препаратам, использованным при ее создании и валидации.</w:t>
      </w:r>
    </w:p>
    <w:bookmarkEnd w:id="753"/>
    <w:bookmarkStart w:name="z775" w:id="754"/>
    <w:p>
      <w:pPr>
        <w:spacing w:after="0"/>
        <w:ind w:left="0"/>
        <w:jc w:val="left"/>
      </w:pPr>
      <w:r>
        <w:rPr>
          <w:rFonts w:ascii="Times New Roman"/>
          <w:b/>
          <w:i w:val="false"/>
          <w:color w:val="000000"/>
        </w:rPr>
        <w:t xml:space="preserve"> 2. Допустимые методы анализа данных</w:t>
      </w:r>
    </w:p>
    <w:bookmarkEnd w:id="754"/>
    <w:bookmarkStart w:name="z776" w:id="755"/>
    <w:p>
      <w:pPr>
        <w:spacing w:after="0"/>
        <w:ind w:left="0"/>
        <w:jc w:val="both"/>
      </w:pPr>
      <w:r>
        <w:rPr>
          <w:rFonts w:ascii="Times New Roman"/>
          <w:b w:val="false"/>
          <w:i w:val="false"/>
          <w:color w:val="000000"/>
          <w:sz w:val="28"/>
        </w:rPr>
        <w:t>
      15. Двумя основными категориями математических подходов к моделированию IVIVC являются одно- и двухэтапные методы. Двухэтапный метод основан на деконволюции. К одноэтапным методам относятся метод, основанный на конволюции, и метод, основанный на дифференциальных уравнениях и использовании ФКОФ-моделей.</w:t>
      </w:r>
    </w:p>
    <w:bookmarkEnd w:id="755"/>
    <w:bookmarkStart w:name="z777" w:id="756"/>
    <w:p>
      <w:pPr>
        <w:spacing w:after="0"/>
        <w:ind w:left="0"/>
        <w:jc w:val="both"/>
      </w:pPr>
      <w:r>
        <w:rPr>
          <w:rFonts w:ascii="Times New Roman"/>
          <w:b w:val="false"/>
          <w:i w:val="false"/>
          <w:color w:val="000000"/>
          <w:sz w:val="28"/>
        </w:rPr>
        <w:t xml:space="preserve">
      16. Методы, основанные на деконволюции, включают 2 этапа анализа данных и могут использоваться в качестве основного метода анализа IVIVC или в целях поискового анализа, предваряя одноэтапный метод (методы). На первом этапе осуществляется деконволюция с целью оценки динамики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Вместо камерных моделей предпочтительно использовать такие некамерные модели, как модель Вагнера-Нельсона или Лу-Ригельмана. Методики выполнения деконволюции включены в состав программного обеспечения для выполнения фармакокинетического анализа. Как правило, они включают в себя подгонку кривой для функции ответа единичного импульса (C</w:t>
      </w:r>
      <w:r>
        <w:rPr>
          <w:rFonts w:ascii="Times New Roman"/>
          <w:b w:val="false"/>
          <w:i w:val="false"/>
          <w:color w:val="000000"/>
        </w:rPr>
        <w:t>d</w:t>
      </w:r>
      <w:r>
        <w:rPr>
          <w:rFonts w:ascii="Times New Roman"/>
          <w:b w:val="false"/>
          <w:i w:val="false"/>
          <w:color w:val="000000"/>
          <w:sz w:val="28"/>
        </w:rPr>
        <w:t xml:space="preserve">) к данным лекарственной формы референтного лекарственного препарата для каждого субъекта с последующей деконволюцией данных, полученных у отдельного субъекта, для каждого лекарственного препарата с модифицированным высвобождением с целью получения скорости поступления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(r(t)), согласно следующей функциональной зависимости:</w:t>
      </w:r>
    </w:p>
    <w:bookmarkEnd w:id="756"/>
    <w:bookmarkStart w:name="z778"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4457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577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9" w:id="758"/>
    <w:p>
      <w:pPr>
        <w:spacing w:after="0"/>
        <w:ind w:left="0"/>
        <w:jc w:val="both"/>
      </w:pPr>
      <w:r>
        <w:rPr>
          <w:rFonts w:ascii="Times New Roman"/>
          <w:b w:val="false"/>
          <w:i w:val="false"/>
          <w:color w:val="000000"/>
          <w:sz w:val="28"/>
        </w:rPr>
        <w:t>
      где:</w:t>
      </w:r>
    </w:p>
    <w:bookmarkEnd w:id="758"/>
    <w:bookmarkStart w:name="z780" w:id="759"/>
    <w:p>
      <w:pPr>
        <w:spacing w:after="0"/>
        <w:ind w:left="0"/>
        <w:jc w:val="both"/>
      </w:pPr>
      <w:r>
        <w:rPr>
          <w:rFonts w:ascii="Times New Roman"/>
          <w:b w:val="false"/>
          <w:i w:val="false"/>
          <w:color w:val="000000"/>
          <w:sz w:val="28"/>
        </w:rPr>
        <w:t>
      C – плазменная концентрация;</w:t>
      </w:r>
    </w:p>
    <w:bookmarkEnd w:id="759"/>
    <w:bookmarkStart w:name="z781" w:id="760"/>
    <w:p>
      <w:pPr>
        <w:spacing w:after="0"/>
        <w:ind w:left="0"/>
        <w:jc w:val="both"/>
      </w:pPr>
      <w:r>
        <w:rPr>
          <w:rFonts w:ascii="Times New Roman"/>
          <w:b w:val="false"/>
          <w:i w:val="false"/>
          <w:color w:val="000000"/>
          <w:sz w:val="28"/>
        </w:rPr>
        <w:t>
      C</w:t>
      </w:r>
      <w:r>
        <w:rPr>
          <w:rFonts w:ascii="Times New Roman"/>
          <w:b w:val="false"/>
          <w:i w:val="false"/>
          <w:color w:val="000000"/>
        </w:rPr>
        <w:t>d</w:t>
      </w:r>
      <w:r>
        <w:rPr>
          <w:rFonts w:ascii="Times New Roman"/>
          <w:b w:val="false"/>
          <w:i w:val="false"/>
          <w:color w:val="000000"/>
          <w:sz w:val="28"/>
        </w:rPr>
        <w:t xml:space="preserve"> – ответ на единичный импульс (то есть профиль плазменной концентрации, формирующийся после мгновенной абсорбции единичной дозы действующего вещества); </w:t>
      </w:r>
    </w:p>
    <w:bookmarkEnd w:id="760"/>
    <w:bookmarkStart w:name="z782" w:id="761"/>
    <w:p>
      <w:pPr>
        <w:spacing w:after="0"/>
        <w:ind w:left="0"/>
        <w:jc w:val="both"/>
      </w:pPr>
      <w:r>
        <w:rPr>
          <w:rFonts w:ascii="Times New Roman"/>
          <w:b w:val="false"/>
          <w:i w:val="false"/>
          <w:color w:val="000000"/>
          <w:sz w:val="28"/>
        </w:rPr>
        <w:t>
       – оператор конволюции.</w:t>
      </w:r>
    </w:p>
    <w:bookmarkEnd w:id="761"/>
    <w:bookmarkStart w:name="z783" w:id="762"/>
    <w:p>
      <w:pPr>
        <w:spacing w:after="0"/>
        <w:ind w:left="0"/>
        <w:jc w:val="both"/>
      </w:pPr>
      <w:r>
        <w:rPr>
          <w:rFonts w:ascii="Times New Roman"/>
          <w:b w:val="false"/>
          <w:i w:val="false"/>
          <w:color w:val="000000"/>
          <w:sz w:val="28"/>
        </w:rPr>
        <w:t xml:space="preserve">
      17. На втором этапе устанавливают зависимость между накопленной абсорбцией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высвобождением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соответствии с общепринятыми в математическом моделировании рекомендациями, необходимо стремиться к экономии и использовать простейшую модель для описания данных. Обычно используют модели с увеличивающейся сложностью, начиная с линейных зависимостей и далее усложняя их при необходимости с учетом биологической правдоподобности. Несмотря на стремление получить линейную зависимость между абсорбцией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высвобождением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она не является обязательной. К тому же имеется множество физиологических и физико-химических факторов, которые делают ее маловероятной. При наличии обоснования, основанного учете состава лекарственного препарата, физико-химических, фармакокинетических и физиологических факторов, контролирующих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допускается для всех лекарственных препаратов использовать любой вид зависимости для описания IVIVC, включая сигмовидную зависимость по модели Хилла, а также использовать параметры и подходы к масштабированию времени и временных сдвигов, учитывающие неполноту абсорбции (например, вводить время отсечения абсорбции для лекарственных препаратов для приема внутрь). Различные диапазоны времени для каждого препарата указывают на отсутствие единой зависимости IVIVC для препаратов. Методы, основанные на деконволюции, особенно полезны при поисковом анализе данных в процессе построения модели, поскольку они дают графическое представление (накопленное количество, абсорбированное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сравнении с накопленным количеством, высвобожденным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графики Леви: время абсорбции определенной части дозы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сравнении со временем высвобождения определенной части дозы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Это представление можно использовать для выявления подходящих моделей для зависимости IVIVC и получения необходимых исходных оценок параметров, необходимых для одноэтапных методов моделирования.</w:t>
      </w:r>
    </w:p>
    <w:bookmarkEnd w:id="762"/>
    <w:bookmarkStart w:name="z784" w:id="763"/>
    <w:p>
      <w:pPr>
        <w:spacing w:after="0"/>
        <w:ind w:left="0"/>
        <w:jc w:val="both"/>
      </w:pPr>
      <w:r>
        <w:rPr>
          <w:rFonts w:ascii="Times New Roman"/>
          <w:b w:val="false"/>
          <w:i w:val="false"/>
          <w:color w:val="000000"/>
          <w:sz w:val="28"/>
        </w:rPr>
        <w:t xml:space="preserve">
      18. Методы, основанные на дифференциальном уравнении, конволюции, а также на ФКОФ-моделях, рассматриваются в качестве одноэтапных, поскольку моделирование включает в себя использование полученных данных напрямую без преобразований (то есть без деконволюции). Одноэтапные подходы дают ряд преимуществ по сравнению с методами, основанными на деконволюции, поскольку модель напрямую прогнозирует профиль "плазменная концентрация – время"; моделирование сосредоточено на способности прогнозировать измеримое количество, а не косвенно рассчитанное количество, такое как накопленное абсорбированное количество. Кроме того, эти результаты легче поддаются интерпретации с позиций влияния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на стандартные параметры биоэквивалентности. Камерный подход допускает нелинейную (например, описываемую моделью Михаэлиса-Ментен) фармакокинетику, тогда как метод, основанный на конволюции, предполагает лишь линейную кинетику. Несмотря на то, что методы, основанные на конволюции и дифференциальном уравнении, являются одноэтапными, они различаются по форме зависимости между высвобождением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плазменной концентрацией действующего вещества. При подходе, основанном на конволюции, используется интегральное преобразование зависимости между концентрацией препарата с модифицированным высвобождением (C(t)), заданной скоростью поступления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(r(t)), и ответом единичного импульса (C</w:t>
      </w:r>
      <w:r>
        <w:rPr>
          <w:rFonts w:ascii="Times New Roman"/>
          <w:b w:val="false"/>
          <w:i w:val="false"/>
          <w:color w:val="000000"/>
        </w:rPr>
        <w:t>d</w:t>
      </w:r>
      <w:r>
        <w:rPr>
          <w:rFonts w:ascii="Times New Roman"/>
          <w:b w:val="false"/>
          <w:i w:val="false"/>
          <w:color w:val="000000"/>
          <w:sz w:val="28"/>
        </w:rPr>
        <w:t>), приведенное в пункте 16 настоящих Указаний:</w:t>
      </w:r>
    </w:p>
    <w:bookmarkEnd w:id="763"/>
    <w:bookmarkStart w:name="z785"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4076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76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6" w:id="765"/>
    <w:p>
      <w:pPr>
        <w:spacing w:after="0"/>
        <w:ind w:left="0"/>
        <w:jc w:val="both"/>
      </w:pPr>
      <w:r>
        <w:rPr>
          <w:rFonts w:ascii="Times New Roman"/>
          <w:b w:val="false"/>
          <w:i w:val="false"/>
          <w:color w:val="000000"/>
          <w:sz w:val="28"/>
        </w:rPr>
        <w:t>
      При использовании подхода, основанном на использовании дифференциальных уравнений, используется традиционная камерная модель описания фармакокинетики действующего вещества, которая также включает в себя функцию описывающую его поступление в организм.</w:t>
      </w:r>
    </w:p>
    <w:bookmarkEnd w:id="765"/>
    <w:bookmarkStart w:name="z787" w:id="766"/>
    <w:p>
      <w:pPr>
        <w:spacing w:after="0"/>
        <w:ind w:left="0"/>
        <w:jc w:val="both"/>
      </w:pPr>
      <w:r>
        <w:rPr>
          <w:rFonts w:ascii="Times New Roman"/>
          <w:b w:val="false"/>
          <w:i w:val="false"/>
          <w:color w:val="000000"/>
          <w:sz w:val="28"/>
        </w:rPr>
        <w:t xml:space="preserve">
      В обоих случаях уравнение IVIVC определяет зависимость между высвобождением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(r</w:t>
      </w:r>
      <w:r>
        <w:rPr>
          <w:rFonts w:ascii="Times New Roman"/>
          <w:b w:val="false"/>
          <w:i w:val="false"/>
          <w:color w:val="000000"/>
          <w:vertAlign w:val="subscript"/>
        </w:rPr>
        <w:t>dis</w:t>
      </w:r>
      <w:r>
        <w:rPr>
          <w:rFonts w:ascii="Times New Roman"/>
          <w:b w:val="false"/>
          <w:i w:val="false"/>
          <w:color w:val="000000"/>
          <w:sz w:val="28"/>
        </w:rPr>
        <w:t xml:space="preserve">(t)) и ее абсорбцией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(r(t)). В простейшем случае зависимости процесс растворения действующего вещества полностью характеризует скорость его абсорбции:</w:t>
      </w:r>
    </w:p>
    <w:bookmarkEnd w:id="766"/>
    <w:bookmarkStart w:name="z788"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158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87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768"/>
    <w:p>
      <w:pPr>
        <w:spacing w:after="0"/>
        <w:ind w:left="0"/>
        <w:jc w:val="both"/>
      </w:pPr>
      <w:r>
        <w:rPr>
          <w:rFonts w:ascii="Times New Roman"/>
          <w:b w:val="false"/>
          <w:i w:val="false"/>
          <w:color w:val="000000"/>
          <w:sz w:val="28"/>
        </w:rPr>
        <w:t xml:space="preserve">
      При описании IVIVC допускается использовать различные более сложные функции, учитывающие латентные периоды абсорбции, различие в сроках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а также изменение проникающей способности в различных отделах желудочно-кишечного тракта. Например, следующее уравнение включает в себя такие переменные как, латентный период (t</w:t>
      </w:r>
      <w:r>
        <w:rPr>
          <w:rFonts w:ascii="Times New Roman"/>
          <w:b w:val="false"/>
          <w:i w:val="false"/>
          <w:color w:val="000000"/>
          <w:vertAlign w:val="subscript"/>
        </w:rPr>
        <w:t>0</w:t>
      </w:r>
      <w:r>
        <w:rPr>
          <w:rFonts w:ascii="Times New Roman"/>
          <w:b w:val="false"/>
          <w:i w:val="false"/>
          <w:color w:val="000000"/>
          <w:sz w:val="28"/>
        </w:rPr>
        <w:t>), фактор масштабирования (s</w:t>
      </w:r>
      <w:r>
        <w:rPr>
          <w:rFonts w:ascii="Times New Roman"/>
          <w:b w:val="false"/>
          <w:i w:val="false"/>
          <w:color w:val="000000"/>
          <w:vertAlign w:val="subscript"/>
        </w:rPr>
        <w:t>1</w:t>
      </w:r>
      <w:r>
        <w:rPr>
          <w:rFonts w:ascii="Times New Roman"/>
          <w:b w:val="false"/>
          <w:i w:val="false"/>
          <w:color w:val="000000"/>
          <w:sz w:val="28"/>
        </w:rPr>
        <w:t>), фактор масштабирования (s</w:t>
      </w:r>
      <w:r>
        <w:rPr>
          <w:rFonts w:ascii="Times New Roman"/>
          <w:b w:val="false"/>
          <w:i w:val="false"/>
          <w:color w:val="000000"/>
          <w:vertAlign w:val="subscript"/>
        </w:rPr>
        <w:t>r</w:t>
      </w:r>
      <w:r>
        <w:rPr>
          <w:rFonts w:ascii="Times New Roman"/>
          <w:b w:val="false"/>
          <w:i w:val="false"/>
          <w:color w:val="000000"/>
          <w:sz w:val="28"/>
        </w:rPr>
        <w:t xml:space="preserve">), учитывающий неполную абсорбцию и использование различных единиц для описания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абсорбции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768"/>
    <w:bookmarkStart w:name="z790"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283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3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70"/>
    <w:p>
      <w:pPr>
        <w:spacing w:after="0"/>
        <w:ind w:left="0"/>
        <w:jc w:val="both"/>
      </w:pPr>
      <w:r>
        <w:rPr>
          <w:rFonts w:ascii="Times New Roman"/>
          <w:b w:val="false"/>
          <w:i w:val="false"/>
          <w:color w:val="000000"/>
          <w:sz w:val="28"/>
        </w:rPr>
        <w:t xml:space="preserve">
      В подходе, основанном на использовании дифференциального уравнения, используется традиционная камерная модель фармакокинетики действующего вещества, которая также включает функцию поступления. В качестве альтернативы можно использовать ФКОФ-модель. Эта модель должна описывать механизм действия действующего вещества и располагать экспериментальными данными для надлежащего описания фаз абсорбции, метаболизма, распределения и элиминации исследуемого действующего вещества. Подобно методу конволюции, основанному на использовании дифференциального уравнения, с использованием ФКОФ-модели в качестве поступления используется профиль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позволяющий получить плазменный профиль, который отражает функциональные характеристики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согласно следующей формуле:</w:t>
      </w:r>
    </w:p>
    <w:bookmarkEnd w:id="770"/>
    <w:bookmarkStart w:name="z792"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323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23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3" w:id="772"/>
    <w:p>
      <w:pPr>
        <w:spacing w:after="0"/>
        <w:ind w:left="0"/>
        <w:jc w:val="both"/>
      </w:pPr>
      <w:r>
        <w:rPr>
          <w:rFonts w:ascii="Times New Roman"/>
          <w:b w:val="false"/>
          <w:i w:val="false"/>
          <w:color w:val="000000"/>
          <w:sz w:val="28"/>
        </w:rPr>
        <w:t xml:space="preserve">
      При использовании двухэтапного подхода средний профиль абсорбции получают после усреднения профилей абсорбции отдельных субъектов (то есть по результатам индивидуальной деконволюции), а не деконволюции усредненного профиля "концентрация – время". Если только данные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являются явно вариабельными, использование среднего растворения в норме оказывает небольшое влияние на результат анализа данных и рассматривается в качестве приемлемой практики.</w:t>
      </w:r>
    </w:p>
    <w:bookmarkEnd w:id="772"/>
    <w:bookmarkStart w:name="z794" w:id="773"/>
    <w:p>
      <w:pPr>
        <w:spacing w:after="0"/>
        <w:ind w:left="0"/>
        <w:jc w:val="left"/>
      </w:pPr>
      <w:r>
        <w:rPr>
          <w:rFonts w:ascii="Times New Roman"/>
          <w:b/>
          <w:i w:val="false"/>
          <w:color w:val="000000"/>
        </w:rPr>
        <w:t xml:space="preserve"> Квалификация (аттестация) и оценка прогнозирующей способности модели, описывающей IVIVC</w:t>
      </w:r>
    </w:p>
    <w:bookmarkEnd w:id="773"/>
    <w:bookmarkStart w:name="z795" w:id="774"/>
    <w:p>
      <w:pPr>
        <w:spacing w:after="0"/>
        <w:ind w:left="0"/>
        <w:jc w:val="both"/>
      </w:pPr>
      <w:r>
        <w:rPr>
          <w:rFonts w:ascii="Times New Roman"/>
          <w:b w:val="false"/>
          <w:i w:val="false"/>
          <w:color w:val="000000"/>
          <w:sz w:val="28"/>
        </w:rPr>
        <w:t xml:space="preserve">
      19. Выбор модели, описывающей IVIVC, следует основывать на физико-химических свойствах действующего вещества, его абсорбционных характеристиках, характеристиках теста на растворение и критериях выбранных для оценки показателя степени согласия прогноза (например, проверка прогноза на основе уже имеющихся данных). Целью применения модели, описывающей IVIVC, является возможность достаточно точного прогнозирования ожидаемого профиля "плазменная концентрация – время" на основании данных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модифицированного препарата. Это подтверждается путем графического сравнения прогнозных и фактических концентраций и расчета ошибок прогнозирования для обобщенных параметров, включая по меньшей мере C</w:t>
      </w:r>
      <w:r>
        <w:rPr>
          <w:rFonts w:ascii="Times New Roman"/>
          <w:b w:val="false"/>
          <w:i w:val="false"/>
          <w:color w:val="000000"/>
          <w:vertAlign w:val="subscript"/>
        </w:rPr>
        <w:t>max</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и </w:t>
      </w:r>
      <w:r>
        <w:rPr>
          <w:rFonts w:ascii="Times New Roman"/>
          <w:b w:val="false"/>
          <w:i w:val="false"/>
          <w:color w:val="000000"/>
          <w:vertAlign w:val="subscript"/>
        </w:rPr>
        <w:t>частичную</w:t>
      </w:r>
      <w:r>
        <w:rPr>
          <w:rFonts w:ascii="Times New Roman"/>
          <w:b w:val="false"/>
          <w:i w:val="false"/>
          <w:color w:val="000000"/>
          <w:sz w:val="28"/>
        </w:rPr>
        <w:t>AUC.</w:t>
      </w:r>
    </w:p>
    <w:bookmarkEnd w:id="774"/>
    <w:bookmarkStart w:name="z796" w:id="775"/>
    <w:p>
      <w:pPr>
        <w:spacing w:after="0"/>
        <w:ind w:left="0"/>
        <w:jc w:val="both"/>
      </w:pPr>
      <w:r>
        <w:rPr>
          <w:rFonts w:ascii="Times New Roman"/>
          <w:b w:val="false"/>
          <w:i w:val="false"/>
          <w:color w:val="000000"/>
          <w:sz w:val="28"/>
        </w:rPr>
        <w:t>
      20. При использовании ФКОФ-модели для описания IVIVC необходимо подтвердить, что на основе модели возможно прогнозирование данных для препарата сравнения, а также данных исследуемого лекарственного препарата с модифицированным высвобождением. В целях обоснования функциональности модели необходимо представить достаточный объем данных.</w:t>
      </w:r>
    </w:p>
    <w:bookmarkEnd w:id="775"/>
    <w:bookmarkStart w:name="z797" w:id="776"/>
    <w:p>
      <w:pPr>
        <w:spacing w:after="0"/>
        <w:ind w:left="0"/>
        <w:jc w:val="both"/>
      </w:pPr>
      <w:r>
        <w:rPr>
          <w:rFonts w:ascii="Times New Roman"/>
          <w:b w:val="false"/>
          <w:i w:val="false"/>
          <w:color w:val="000000"/>
          <w:sz w:val="28"/>
        </w:rPr>
        <w:t xml:space="preserve">
      21. В большинстве случаев модели, описывающие IVIVC, в целях прогнозирования усредненного профиля "концентрация – время"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используют усредненное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Данный подход не способен должным образом учесть случайные вариации фармакокинетических параметров действующего вещества не только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но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С этих позиций одноэтапные подходы имеют преимущество, поскольку с их применением можно осуществлять анализ нелинейных смешанных эффектов, который позволяет включить в модель индивидуальную вариабельность, что потенциально улучшает надежность модели при прогнозировании показателей биоэквивалентности новых препаратов.</w:t>
      </w:r>
    </w:p>
    <w:bookmarkEnd w:id="776"/>
    <w:bookmarkStart w:name="z798" w:id="777"/>
    <w:p>
      <w:pPr>
        <w:spacing w:after="0"/>
        <w:ind w:left="0"/>
        <w:jc w:val="both"/>
      </w:pPr>
      <w:r>
        <w:rPr>
          <w:rFonts w:ascii="Times New Roman"/>
          <w:b w:val="false"/>
          <w:i w:val="false"/>
          <w:color w:val="000000"/>
          <w:sz w:val="28"/>
        </w:rPr>
        <w:t>
      22. В целом модель, описывающая IVIVC, считается достаточно точной, если на основании визуальной проверки удается хорошо спрогнозировать весь профиль "концентрация – время", а ошибки прогнозирования находятся в приемлемых пределах. Внутреннюю прогнозируемость оценивают с помощью профиля "концентрация – время" модели IVIVC на основании соответствующих данных о растворении каждого препарата. Обобщенные параметры (C</w:t>
      </w:r>
      <w:r>
        <w:rPr>
          <w:rFonts w:ascii="Times New Roman"/>
          <w:b w:val="false"/>
          <w:i w:val="false"/>
          <w:color w:val="000000"/>
          <w:vertAlign w:val="subscript"/>
        </w:rPr>
        <w:t>max</w:t>
      </w:r>
      <w:r>
        <w:rPr>
          <w:rFonts w:ascii="Times New Roman"/>
          <w:b w:val="false"/>
          <w:i w:val="false"/>
          <w:color w:val="000000"/>
          <w:sz w:val="28"/>
        </w:rPr>
        <w:t xml:space="preserve"> и т.д.) рассчитывают исходя из прогнозируемого профиля "концентрация – время" и сравнивают с соответствующими обобщенными параметрами фактических данных. Абсолютное значение ошибки прогнозирования для всех обобщающих параметров не должно превышать 15 % для каждого препарата, а усредненная ошибка прогнозирования для всех препаратов, использованных при разработке IVIVC, не должна превышать 10 % для каждого обобщающего параметра. Если отдельный препарат неточно прогнозируется с помощью IVIVC, допустимо перемоделировать IVIVC, исключив такой препарат, что приведет к включению в IVIVC более узкого диапазона данных растворения. В дальнейшем именно этот более узкий диапазон данных растворения будет определять диапазон, в пределах которого IVIVC принимается в качестве прогнозируемой, и влиять тем самым на возможность обоснования спецификаций и биовейверов. При выполнении исключения из моделирования лекарственного препарата должны сохраниться данные о растворении, по меньшей мере, для 2 препаратов, а исключение необходимо подкрепить анализом возможных причин отклонений (например, вследствие механизма высвобождения, процесса производства).</w:t>
      </w:r>
    </w:p>
    <w:bookmarkEnd w:id="777"/>
    <w:bookmarkStart w:name="z799" w:id="778"/>
    <w:p>
      <w:pPr>
        <w:spacing w:after="0"/>
        <w:ind w:left="0"/>
        <w:jc w:val="both"/>
      </w:pPr>
      <w:r>
        <w:rPr>
          <w:rFonts w:ascii="Times New Roman"/>
          <w:b w:val="false"/>
          <w:i w:val="false"/>
          <w:color w:val="000000"/>
          <w:sz w:val="28"/>
        </w:rPr>
        <w:t xml:space="preserve">
      23. В дополнение к оценке внутренней прогнозируемости с использованием серий, включенных в формальное исследование IVIVC, рекомендуется продолжить подтверждение применимости IVIVC с дополнительными опытными сериями (например, крупномасштабными сериями, использованными в опорных исследованиях, дополнительными дозировками, последующими изменениями состава, изученными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т.д.). В идеальном случае при проведении фармакокинетических исследований препаратов с различающимися профилями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эти данные необходимо использовать для получения или усиления данных в пользу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Этого можно достичь посредством перекрестного определения IVIVC с использованием маломасштабных серий и внешней валидации с использованием крупномасштабных серий. В любом случае при любой разработке IVIVC необходимо подтвердить, что зависимость верна для серий, отражающих свойства препарата, выводимого на рынок.</w:t>
      </w:r>
    </w:p>
    <w:bookmarkEnd w:id="778"/>
    <w:bookmarkStart w:name="z800" w:id="779"/>
    <w:p>
      <w:pPr>
        <w:spacing w:after="0"/>
        <w:ind w:left="0"/>
        <w:jc w:val="both"/>
      </w:pPr>
      <w:r>
        <w:rPr>
          <w:rFonts w:ascii="Times New Roman"/>
          <w:b w:val="false"/>
          <w:i w:val="false"/>
          <w:color w:val="000000"/>
          <w:sz w:val="28"/>
        </w:rPr>
        <w:t xml:space="preserve">
      24. Процедура анализа внешней прогнозируемости совпадает с вышеописанной процедурой с использованием ранее разработанной IVIVC. Профиль "концентрация – время" прогнозируется на основании фармакокинетики препарата с быстрым высвобождением (то есть выбранной лекарственной формы референтного лекарственного препарата), включенного в исследование в целях внешней валидации, и данных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определенной серии, использованной для внешней валидации. Абсолютное значение ошибки прогнозирования для всех обобщенных параметров не должно превышать 10 % для каждого препарата, использованного в целях внешней валидации.</w:t>
      </w:r>
    </w:p>
    <w:bookmarkEnd w:id="779"/>
    <w:bookmarkStart w:name="z801" w:id="780"/>
    <w:p>
      <w:pPr>
        <w:spacing w:after="0"/>
        <w:ind w:left="0"/>
        <w:jc w:val="left"/>
      </w:pPr>
      <w:r>
        <w:rPr>
          <w:rFonts w:ascii="Times New Roman"/>
          <w:b/>
          <w:i w:val="false"/>
          <w:color w:val="000000"/>
        </w:rPr>
        <w:t xml:space="preserve"> Отчетность по результатам исследований корреляции данных in vitro и in vivo</w:t>
      </w:r>
    </w:p>
    <w:bookmarkEnd w:id="780"/>
    <w:bookmarkStart w:name="z802" w:id="781"/>
    <w:p>
      <w:pPr>
        <w:spacing w:after="0"/>
        <w:ind w:left="0"/>
        <w:jc w:val="both"/>
      </w:pPr>
      <w:r>
        <w:rPr>
          <w:rFonts w:ascii="Times New Roman"/>
          <w:b w:val="false"/>
          <w:i w:val="false"/>
          <w:color w:val="000000"/>
          <w:sz w:val="28"/>
        </w:rPr>
        <w:t xml:space="preserve">
      25. Отчет об установлении IVIVC должен включать перечень всех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проведенных с препаратом с модифицированным высвобождением, а также обоснование отбора данных для анализа IVIVC. Перечень данных должен включать индивидуальные данные и обобщенные статистические данные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данные профиля "плазменная концентрация – время", полученные фармакокинетические параметры и накопленное абсорбированное количество действующего вещества (полученное путем деконволюции, даже если в целях использования модели применялся одноэтапный метод) для всех серий.</w:t>
      </w:r>
    </w:p>
    <w:bookmarkEnd w:id="781"/>
    <w:bookmarkStart w:name="z803" w:id="782"/>
    <w:p>
      <w:pPr>
        <w:spacing w:after="0"/>
        <w:ind w:left="0"/>
        <w:jc w:val="both"/>
      </w:pPr>
      <w:r>
        <w:rPr>
          <w:rFonts w:ascii="Times New Roman"/>
          <w:b w:val="false"/>
          <w:i w:val="false"/>
          <w:color w:val="000000"/>
          <w:sz w:val="28"/>
        </w:rPr>
        <w:t xml:space="preserve">
      26. Графическое отображение IVIVC должно включать данные о растворении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во времени (с указанием клинически значимых серий, таких как серии препарата, предназначенные для реализации, и т.д.), накопленное абсорбированное количество действующего вещества в зависимости от интервала времени, изменение скорости абсорбции в зависимости от времени, сопоставление динамики растворения и абсорбции действующего вещества (в целях оценки диапазонов времени, латентных периодов времени между данными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накопленное абсорбированное количество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процентах по отношению к препарату сравнения) в сравнении с высвобожденным количеством (в процентах от дозы)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тот же момент времени (с перекрытием в соотношении 1:1, линиями регрессии, если необходимо) всех препаратов, включенных в анализ IVIVC. При наличии явных временных различий между периодами времени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абсорбцией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(то есть при отклонении</w:t>
      </w:r>
      <w:r>
        <w:br/>
      </w:r>
      <w:r>
        <w:rPr>
          <w:rFonts w:ascii="Times New Roman"/>
          <w:b w:val="false"/>
          <w:i w:val="false"/>
          <w:color w:val="000000"/>
          <w:sz w:val="28"/>
        </w:rPr>
        <w:t xml:space="preserve">от соотношения 1:1) полезным графическим отображением является график Леви (время высвобождения определенной доли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 сравнении со временем высвобождения для той же доли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782"/>
    <w:bookmarkStart w:name="z804" w:id="783"/>
    <w:p>
      <w:pPr>
        <w:spacing w:after="0"/>
        <w:ind w:left="0"/>
        <w:jc w:val="both"/>
      </w:pPr>
      <w:r>
        <w:rPr>
          <w:rFonts w:ascii="Times New Roman"/>
          <w:b w:val="false"/>
          <w:i w:val="false"/>
          <w:color w:val="000000"/>
          <w:sz w:val="28"/>
        </w:rPr>
        <w:t>
      27. Необходимо описать метод теста на растворение и привести обоснование его пригодности с учетом физико-химических свойств действующего вещества и т.д.</w:t>
      </w:r>
    </w:p>
    <w:bookmarkEnd w:id="783"/>
    <w:bookmarkStart w:name="z805" w:id="784"/>
    <w:p>
      <w:pPr>
        <w:spacing w:after="0"/>
        <w:ind w:left="0"/>
        <w:jc w:val="both"/>
      </w:pPr>
      <w:r>
        <w:rPr>
          <w:rFonts w:ascii="Times New Roman"/>
          <w:b w:val="false"/>
          <w:i w:val="false"/>
          <w:color w:val="000000"/>
          <w:sz w:val="28"/>
        </w:rPr>
        <w:t xml:space="preserve">
      28. Необходимо представить полное описание методологии моделирования и использованного программного обеспечения, а также основания принятия решений, подкрепив их анализом состава, физико-химических, фармакокинетических и физиологических факторов, контролирующих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При использовании камерного метода деконволюции (например, модель Вагнера-Нельсона или Лу-Ригельмана) необходимо проанализировать пригодность подхода.</w:t>
      </w:r>
    </w:p>
    <w:bookmarkEnd w:id="784"/>
    <w:bookmarkStart w:name="z806" w:id="785"/>
    <w:p>
      <w:pPr>
        <w:spacing w:after="0"/>
        <w:ind w:left="0"/>
        <w:jc w:val="both"/>
      </w:pPr>
      <w:r>
        <w:rPr>
          <w:rFonts w:ascii="Times New Roman"/>
          <w:b w:val="false"/>
          <w:i w:val="false"/>
          <w:color w:val="000000"/>
          <w:sz w:val="28"/>
        </w:rPr>
        <w:t xml:space="preserve">
      29. Необходимо представить графики, характеризующие степень согласия, подходящие к использованной методологии моделирования, а также итоговые оценки параметров для всех смоделированных данных (например,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абсорбция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если модель использует интерполяцию, а также для самой модели IVIVC).</w:t>
      </w:r>
    </w:p>
    <w:bookmarkEnd w:id="785"/>
    <w:bookmarkStart w:name="z807" w:id="786"/>
    <w:p>
      <w:pPr>
        <w:spacing w:after="0"/>
        <w:ind w:left="0"/>
        <w:jc w:val="both"/>
      </w:pPr>
      <w:r>
        <w:rPr>
          <w:rFonts w:ascii="Times New Roman"/>
          <w:b w:val="false"/>
          <w:i w:val="false"/>
          <w:color w:val="000000"/>
          <w:sz w:val="28"/>
        </w:rPr>
        <w:t>
      30. В итоговую таблицу отчета необходимо занести данные профиля "плазменная концентрация – время", спрогнозированные с помощью окончательной модели IVIVC, полученные параметры и связанную с ними ошибку прогнозирования. Необходимо представить графическое сравнение прогнозных и фактических профилей "концентрация – время".</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809" w:id="787"/>
    <w:p>
      <w:pPr>
        <w:spacing w:after="0"/>
        <w:ind w:left="0"/>
        <w:jc w:val="left"/>
      </w:pPr>
      <w:r>
        <w:rPr>
          <w:rFonts w:ascii="Times New Roman"/>
          <w:b/>
          <w:i w:val="false"/>
          <w:color w:val="000000"/>
        </w:rPr>
        <w:t xml:space="preserve"> УКАЗАНИЯ</w:t>
      </w:r>
      <w:r>
        <w:br/>
      </w:r>
      <w:r>
        <w:rPr>
          <w:rFonts w:ascii="Times New Roman"/>
          <w:b/>
          <w:i w:val="false"/>
          <w:color w:val="000000"/>
        </w:rPr>
        <w:t>по проведению исследований при упрощенной регистрации лекарственных препаратов</w:t>
      </w:r>
    </w:p>
    <w:bookmarkEnd w:id="787"/>
    <w:bookmarkStart w:name="z810" w:id="788"/>
    <w:p>
      <w:pPr>
        <w:spacing w:after="0"/>
        <w:ind w:left="0"/>
        <w:jc w:val="both"/>
      </w:pPr>
      <w:r>
        <w:rPr>
          <w:rFonts w:ascii="Times New Roman"/>
          <w:b w:val="false"/>
          <w:i w:val="false"/>
          <w:color w:val="000000"/>
          <w:sz w:val="28"/>
        </w:rPr>
        <w:t>
      Таблица 1</w:t>
      </w:r>
    </w:p>
    <w:bookmarkEnd w:id="788"/>
    <w:bookmarkStart w:name="z811" w:id="789"/>
    <w:p>
      <w:pPr>
        <w:spacing w:after="0"/>
        <w:ind w:left="0"/>
        <w:jc w:val="left"/>
      </w:pPr>
      <w:r>
        <w:rPr>
          <w:rFonts w:ascii="Times New Roman"/>
          <w:b/>
          <w:i w:val="false"/>
          <w:color w:val="000000"/>
        </w:rPr>
        <w:t xml:space="preserve"> Одноединичный препарат с пролонгированным высвобождением (согласно общей характеристике лекарственного препарата препарат принимают натощак либо после еды)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010"/>
        <w:gridCol w:w="4306"/>
        <w:gridCol w:w="32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 однократным дозированием </w:t>
            </w:r>
            <w:r>
              <w:br/>
            </w:r>
            <w:r>
              <w:rPr>
                <w:rFonts w:ascii="Times New Roman"/>
                <w:b w:val="false"/>
                <w:i w:val="false"/>
                <w:color w:val="000000"/>
                <w:sz w:val="20"/>
              </w:rPr>
              <w:t>после еды</w:t>
            </w:r>
            <w:r>
              <w:rPr>
                <w:rFonts w:ascii="Times New Roman"/>
                <w:b w:val="false"/>
                <w:i w:val="false"/>
                <w:color w:val="000000"/>
                <w:vertAlign w:val="superscript"/>
              </w:rPr>
              <w:t>**</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12" w:id="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Критерии необходимости проведения исследования приведены в подразделе 2 раздела VI Требований к проведению фармакокинетического и клинического изучения биоэквивалентности лекарственных препаратов с модифицированным высвобождением, приложение № 10 к </w:t>
      </w:r>
      <w:r>
        <w:rPr>
          <w:rFonts w:ascii="Times New Roman"/>
          <w:b w:val="false"/>
          <w:i w:val="false"/>
          <w:color w:val="000000"/>
          <w:sz w:val="28"/>
        </w:rPr>
        <w:t>Правилам</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Требования).</w:t>
      </w:r>
    </w:p>
    <w:bookmarkEnd w:id="790"/>
    <w:bookmarkStart w:name="z813" w:id="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выполнении критериев проведения исследования, приведенных в подразделе 7 раздела VI Требований возможен выбор крайних вариантов.</w:t>
      </w:r>
    </w:p>
    <w:bookmarkEnd w:id="791"/>
    <w:bookmarkStart w:name="z814" w:id="7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исследований, приведенные в разделе VI Требований, возможен биовейвер некоторых дозировок или выбор крайних вариантов.</w:t>
      </w:r>
    </w:p>
    <w:bookmarkEnd w:id="792"/>
    <w:bookmarkStart w:name="z815" w:id="793"/>
    <w:p>
      <w:pPr>
        <w:spacing w:after="0"/>
        <w:ind w:left="0"/>
        <w:jc w:val="both"/>
      </w:pPr>
      <w:r>
        <w:rPr>
          <w:rFonts w:ascii="Times New Roman"/>
          <w:b w:val="false"/>
          <w:i w:val="false"/>
          <w:color w:val="000000"/>
          <w:sz w:val="28"/>
        </w:rPr>
        <w:t>
      Таблица 2</w:t>
      </w:r>
    </w:p>
    <w:bookmarkEnd w:id="793"/>
    <w:bookmarkStart w:name="z816" w:id="794"/>
    <w:p>
      <w:pPr>
        <w:spacing w:after="0"/>
        <w:ind w:left="0"/>
        <w:jc w:val="left"/>
      </w:pPr>
      <w:r>
        <w:rPr>
          <w:rFonts w:ascii="Times New Roman"/>
          <w:b/>
          <w:i w:val="false"/>
          <w:color w:val="000000"/>
        </w:rPr>
        <w:t xml:space="preserve"> Одноединичный препарат с пролонгированным высвобождением (согласно общей характеристике лекарственного препарата препарат принимают после еды)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837"/>
        <w:gridCol w:w="2988"/>
        <w:gridCol w:w="3668"/>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w:t>
            </w:r>
            <w:r>
              <w:br/>
            </w:r>
            <w:r>
              <w:rPr>
                <w:rFonts w:ascii="Times New Roman"/>
                <w:b w:val="false"/>
                <w:i w:val="false"/>
                <w:color w:val="000000"/>
                <w:sz w:val="20"/>
              </w:rPr>
              <w:t>после еды</w:t>
            </w:r>
            <w:r>
              <w:rPr>
                <w:rFonts w:ascii="Times New Roman"/>
                <w:b w:val="false"/>
                <w:i w:val="false"/>
                <w:color w:val="000000"/>
                <w:vertAlign w:val="superscript"/>
              </w:rPr>
              <w:t>**</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17" w:id="7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795"/>
    <w:bookmarkStart w:name="z818" w:id="7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выполнении критериев проведения исследований, приведенных в подразделе 7 раздела VI Требований, возможен выбор крайних вариантов.</w:t>
      </w:r>
    </w:p>
    <w:bookmarkEnd w:id="796"/>
    <w:bookmarkStart w:name="z819" w:id="7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исследований, приведенные в разделе VI Требований, возможен биовейвер некоторых дозировок или выбор крайних вариантов.</w:t>
      </w:r>
    </w:p>
    <w:bookmarkEnd w:id="797"/>
    <w:bookmarkStart w:name="z820" w:id="798"/>
    <w:p>
      <w:pPr>
        <w:spacing w:after="0"/>
        <w:ind w:left="0"/>
        <w:jc w:val="both"/>
      </w:pPr>
      <w:r>
        <w:rPr>
          <w:rFonts w:ascii="Times New Roman"/>
          <w:b w:val="false"/>
          <w:i w:val="false"/>
          <w:color w:val="000000"/>
          <w:sz w:val="28"/>
        </w:rPr>
        <w:t>
      Таблица 3</w:t>
      </w:r>
    </w:p>
    <w:bookmarkEnd w:id="798"/>
    <w:bookmarkStart w:name="z821" w:id="799"/>
    <w:p>
      <w:pPr>
        <w:spacing w:after="0"/>
        <w:ind w:left="0"/>
        <w:jc w:val="left"/>
      </w:pPr>
      <w:r>
        <w:rPr>
          <w:rFonts w:ascii="Times New Roman"/>
          <w:b/>
          <w:i w:val="false"/>
          <w:color w:val="000000"/>
        </w:rPr>
        <w:t xml:space="preserve"> Многоединичный препарат с пролонгированным высвобождением (согласно общей характеристике лекарственного препарата, препарат принимают натощак либо натощак или после еды)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71"/>
        <w:gridCol w:w="3856"/>
        <w:gridCol w:w="4240"/>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22" w:id="8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800"/>
    <w:bookmarkStart w:name="z823" w:id="8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801"/>
    <w:bookmarkStart w:name="z824" w:id="802"/>
    <w:p>
      <w:pPr>
        <w:spacing w:after="0"/>
        <w:ind w:left="0"/>
        <w:jc w:val="both"/>
      </w:pPr>
      <w:r>
        <w:rPr>
          <w:rFonts w:ascii="Times New Roman"/>
          <w:b w:val="false"/>
          <w:i w:val="false"/>
          <w:color w:val="000000"/>
          <w:sz w:val="28"/>
        </w:rPr>
        <w:t>
      Таблица 4</w:t>
      </w:r>
    </w:p>
    <w:bookmarkEnd w:id="802"/>
    <w:bookmarkStart w:name="z825" w:id="803"/>
    <w:p>
      <w:pPr>
        <w:spacing w:after="0"/>
        <w:ind w:left="0"/>
        <w:jc w:val="left"/>
      </w:pPr>
      <w:r>
        <w:rPr>
          <w:rFonts w:ascii="Times New Roman"/>
          <w:b/>
          <w:i w:val="false"/>
          <w:color w:val="000000"/>
        </w:rPr>
        <w:t xml:space="preserve"> Многоединичный препарат с пролонгированным высвобождением (согласно общей характеристике лекарственного препарата, препарат принимают после еды)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71"/>
        <w:gridCol w:w="3856"/>
        <w:gridCol w:w="4240"/>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26" w:id="8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804"/>
    <w:bookmarkStart w:name="z827" w:id="8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805"/>
    <w:bookmarkStart w:name="z828" w:id="806"/>
    <w:p>
      <w:pPr>
        <w:spacing w:after="0"/>
        <w:ind w:left="0"/>
        <w:jc w:val="both"/>
      </w:pPr>
      <w:r>
        <w:rPr>
          <w:rFonts w:ascii="Times New Roman"/>
          <w:b w:val="false"/>
          <w:i w:val="false"/>
          <w:color w:val="000000"/>
          <w:sz w:val="28"/>
        </w:rPr>
        <w:t>
      Таблица 5</w:t>
      </w:r>
    </w:p>
    <w:bookmarkEnd w:id="806"/>
    <w:bookmarkStart w:name="z829" w:id="807"/>
    <w:p>
      <w:pPr>
        <w:spacing w:after="0"/>
        <w:ind w:left="0"/>
        <w:jc w:val="left"/>
      </w:pPr>
      <w:r>
        <w:rPr>
          <w:rFonts w:ascii="Times New Roman"/>
          <w:b/>
          <w:i w:val="false"/>
          <w:color w:val="000000"/>
        </w:rPr>
        <w:t xml:space="preserve"> Одноединичный препарат с отсроченным высвобождением (согласно общей характеристике лекарственного препарата, препарат принимают натощак либо натощак или после еды)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356"/>
        <w:gridCol w:w="5819"/>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r>
              <w:rPr>
                <w:rFonts w:ascii="Times New Roman"/>
                <w:b w:val="false"/>
                <w:i w:val="false"/>
                <w:color w:val="000000"/>
                <w:vertAlign w:val="superscript"/>
              </w:rPr>
              <w:t>*</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r>
    </w:tbl>
    <w:bookmarkStart w:name="z830" w:id="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подразделе 7 раздела VI Требований, возможен выбор крайних вариантов.</w:t>
      </w:r>
    </w:p>
    <w:bookmarkEnd w:id="808"/>
    <w:bookmarkStart w:name="z831" w:id="8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809"/>
    <w:bookmarkStart w:name="z832" w:id="810"/>
    <w:p>
      <w:pPr>
        <w:spacing w:after="0"/>
        <w:ind w:left="0"/>
        <w:jc w:val="both"/>
      </w:pPr>
      <w:r>
        <w:rPr>
          <w:rFonts w:ascii="Times New Roman"/>
          <w:b w:val="false"/>
          <w:i w:val="false"/>
          <w:color w:val="000000"/>
          <w:sz w:val="28"/>
        </w:rPr>
        <w:t>
      Таблица 6</w:t>
      </w:r>
    </w:p>
    <w:bookmarkEnd w:id="810"/>
    <w:bookmarkStart w:name="z833" w:id="811"/>
    <w:p>
      <w:pPr>
        <w:spacing w:after="0"/>
        <w:ind w:left="0"/>
        <w:jc w:val="left"/>
      </w:pPr>
      <w:r>
        <w:rPr>
          <w:rFonts w:ascii="Times New Roman"/>
          <w:b/>
          <w:i w:val="false"/>
          <w:color w:val="000000"/>
        </w:rPr>
        <w:t xml:space="preserve"> Одноединичный препарат с отсроченным высвобождением (согласно общей характеристике лекарственного препарата, препарат принимают после еды)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367"/>
        <w:gridCol w:w="5971"/>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r>
              <w:rPr>
                <w:rFonts w:ascii="Times New Roman"/>
                <w:b w:val="false"/>
                <w:i w:val="false"/>
                <w:color w:val="000000"/>
                <w:vertAlign w:val="superscript"/>
              </w:rPr>
              <w:t>**</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w:t>
            </w:r>
            <w:r>
              <w:br/>
            </w:r>
            <w:r>
              <w:rPr>
                <w:rFonts w:ascii="Times New Roman"/>
                <w:b w:val="false"/>
                <w:i w:val="false"/>
                <w:color w:val="000000"/>
                <w:sz w:val="20"/>
              </w:rPr>
              <w:t>при схожести формы</w:t>
            </w:r>
            <w:r>
              <w:rPr>
                <w:rFonts w:ascii="Times New Roman"/>
                <w:b w:val="false"/>
                <w:i w:val="false"/>
                <w:color w:val="000000"/>
                <w:vertAlign w:val="superscript"/>
              </w:rPr>
              <w:t>**</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w:t>
            </w:r>
            <w:r>
              <w:br/>
            </w:r>
            <w:r>
              <w:rPr>
                <w:rFonts w:ascii="Times New Roman"/>
                <w:b w:val="false"/>
                <w:i w:val="false"/>
                <w:color w:val="000000"/>
                <w:sz w:val="20"/>
              </w:rPr>
              <w:t>при схожести формы</w:t>
            </w:r>
            <w:r>
              <w:rPr>
                <w:rFonts w:ascii="Times New Roman"/>
                <w:b w:val="false"/>
                <w:i w:val="false"/>
                <w:color w:val="000000"/>
                <w:vertAlign w:val="superscript"/>
              </w:rPr>
              <w:t>**</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834" w:id="8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подразделе 7 раздела VI Требований, возможен выбор крайних вариантов.</w:t>
      </w:r>
    </w:p>
    <w:bookmarkEnd w:id="812"/>
    <w:bookmarkStart w:name="z835" w:id="8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813"/>
    <w:bookmarkStart w:name="z836" w:id="814"/>
    <w:p>
      <w:pPr>
        <w:spacing w:after="0"/>
        <w:ind w:left="0"/>
        <w:jc w:val="both"/>
      </w:pPr>
      <w:r>
        <w:rPr>
          <w:rFonts w:ascii="Times New Roman"/>
          <w:b w:val="false"/>
          <w:i w:val="false"/>
          <w:color w:val="000000"/>
          <w:sz w:val="28"/>
        </w:rPr>
        <w:t>
      Таблица 7</w:t>
      </w:r>
    </w:p>
    <w:bookmarkEnd w:id="814"/>
    <w:bookmarkStart w:name="z837" w:id="815"/>
    <w:p>
      <w:pPr>
        <w:spacing w:after="0"/>
        <w:ind w:left="0"/>
        <w:jc w:val="left"/>
      </w:pPr>
      <w:r>
        <w:rPr>
          <w:rFonts w:ascii="Times New Roman"/>
          <w:b/>
          <w:i w:val="false"/>
          <w:color w:val="000000"/>
        </w:rPr>
        <w:t xml:space="preserve"> Многоединичный препарат с отсроченным высвобождением (согласно общей характеристике лекарственного препарата, препарат принимают натощак либо натощак или после еды)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992"/>
        <w:gridCol w:w="5884"/>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38"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816"/>
    <w:bookmarkStart w:name="z839" w:id="817"/>
    <w:p>
      <w:pPr>
        <w:spacing w:after="0"/>
        <w:ind w:left="0"/>
        <w:jc w:val="both"/>
      </w:pPr>
      <w:r>
        <w:rPr>
          <w:rFonts w:ascii="Times New Roman"/>
          <w:b w:val="false"/>
          <w:i w:val="false"/>
          <w:color w:val="000000"/>
          <w:sz w:val="28"/>
        </w:rPr>
        <w:t>
      Таблица 8</w:t>
      </w:r>
    </w:p>
    <w:bookmarkEnd w:id="817"/>
    <w:bookmarkStart w:name="z840" w:id="818"/>
    <w:p>
      <w:pPr>
        <w:spacing w:after="0"/>
        <w:ind w:left="0"/>
        <w:jc w:val="left"/>
      </w:pPr>
      <w:r>
        <w:rPr>
          <w:rFonts w:ascii="Times New Roman"/>
          <w:b/>
          <w:i w:val="false"/>
          <w:color w:val="000000"/>
        </w:rPr>
        <w:t xml:space="preserve"> Многоединичный препарат с отсроченным высвобождением (согласно общей характеристике лекарственного препарата, препарат принимают после еды)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992"/>
        <w:gridCol w:w="5884"/>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41" w:id="8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 </w:t>
      </w:r>
    </w:p>
    <w:bookmarkEnd w:id="8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