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7fd3" w14:textId="8ae7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Методологии прогнозирования развития агропромышленных комплексов государств – членов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9 июня 2020 года № 70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Договора о Евразийском экономическом союзе от 29 мая 2014 года: </w:t>
      </w:r>
    </w:p>
    <w:bookmarkEnd w:id="0"/>
    <w:bookmarkStart w:name="z5" w:id="1"/>
    <w:p>
      <w:pPr>
        <w:spacing w:after="0"/>
        <w:ind w:left="0"/>
        <w:jc w:val="both"/>
      </w:pPr>
      <w:r>
        <w:rPr>
          <w:rFonts w:ascii="Times New Roman"/>
          <w:b w:val="false"/>
          <w:i w:val="false"/>
          <w:color w:val="000000"/>
          <w:sz w:val="28"/>
        </w:rPr>
        <w:t>
      1. Утвердить прилагаемую Методологию прогнозирования развития агропромышленных комплексов государств – членов Евразийского экономического союза.</w:t>
      </w:r>
    </w:p>
    <w:bookmarkEnd w:id="1"/>
    <w:bookmarkStart w:name="z6" w:id="2"/>
    <w:p>
      <w:pPr>
        <w:spacing w:after="0"/>
        <w:ind w:left="0"/>
        <w:jc w:val="both"/>
      </w:pPr>
      <w:r>
        <w:rPr>
          <w:rFonts w:ascii="Times New Roman"/>
          <w:b w:val="false"/>
          <w:i w:val="false"/>
          <w:color w:val="000000"/>
          <w:sz w:val="28"/>
        </w:rPr>
        <w:t>
      2. Установить, что Методология, утвержденная настоящим распоряжением, используется в целях расчета Евразийской экономической комиссией прогнозных показателей развития агропромышленных комплексов государств – членов Евразийского экономического союза для рекомендации их к использованию государствами-членами при разработке прогнозных балансов спроса и предложения по сельскохозяйственной продукции, продовольствию, льноволокну, кожевенному сырью, хлопковолокну и шерсти.</w:t>
      </w:r>
    </w:p>
    <w:bookmarkEnd w:id="2"/>
    <w:bookmarkStart w:name="z7" w:id="3"/>
    <w:p>
      <w:pPr>
        <w:spacing w:after="0"/>
        <w:ind w:left="0"/>
        <w:jc w:val="both"/>
      </w:pPr>
      <w:r>
        <w:rPr>
          <w:rFonts w:ascii="Times New Roman"/>
          <w:b w:val="false"/>
          <w:i w:val="false"/>
          <w:color w:val="000000"/>
          <w:sz w:val="28"/>
        </w:rPr>
        <w:t>
      3. Настоящее распоряжение вступает в силу с даты его опубликования на официальном сайте Евразийского экономического союза.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распоряжением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9 июня 2020 г. № 70  </w:t>
            </w:r>
          </w:p>
        </w:tc>
      </w:tr>
    </w:tbl>
    <w:bookmarkStart w:name="z10" w:id="4"/>
    <w:p>
      <w:pPr>
        <w:spacing w:after="0"/>
        <w:ind w:left="0"/>
        <w:jc w:val="left"/>
      </w:pPr>
      <w:r>
        <w:rPr>
          <w:rFonts w:ascii="Times New Roman"/>
          <w:b/>
          <w:i w:val="false"/>
          <w:color w:val="000000"/>
        </w:rPr>
        <w:t xml:space="preserve"> МЕТОДОЛОГИЯ</w:t>
      </w:r>
      <w:r>
        <w:br/>
      </w:r>
      <w:r>
        <w:rPr>
          <w:rFonts w:ascii="Times New Roman"/>
          <w:b/>
          <w:i w:val="false"/>
          <w:color w:val="000000"/>
        </w:rPr>
        <w:t>прогнозирования развития агропромышленных комплексов государств – членов Евразийского экономического союза</w:t>
      </w:r>
    </w:p>
    <w:bookmarkEnd w:id="4"/>
    <w:bookmarkStart w:name="z11" w:id="5"/>
    <w:p>
      <w:pPr>
        <w:spacing w:after="0"/>
        <w:ind w:left="0"/>
        <w:jc w:val="left"/>
      </w:pPr>
      <w:r>
        <w:rPr>
          <w:rFonts w:ascii="Times New Roman"/>
          <w:b/>
          <w:i w:val="false"/>
          <w:color w:val="000000"/>
        </w:rPr>
        <w:t xml:space="preserve"> I. Общие положения</w:t>
      </w:r>
    </w:p>
    <w:bookmarkEnd w:id="5"/>
    <w:bookmarkStart w:name="z12" w:id="6"/>
    <w:p>
      <w:pPr>
        <w:spacing w:after="0"/>
        <w:ind w:left="0"/>
        <w:jc w:val="both"/>
      </w:pPr>
      <w:r>
        <w:rPr>
          <w:rFonts w:ascii="Times New Roman"/>
          <w:b w:val="false"/>
          <w:i w:val="false"/>
          <w:color w:val="000000"/>
          <w:sz w:val="28"/>
        </w:rPr>
        <w:t>
      Прогноз развития агропромышленных комплексов государств – членов Евразийского экономического союза (далее – государства-члены), отражающий экономическое развитие сельскохозяйственного производства и рынка основных агропродовольственных товаров, формируется на среднесрочный (5 лет) и долгосрочный (10 лет) периоды с корректировкой показателей раз в 2 года.</w:t>
      </w:r>
    </w:p>
    <w:bookmarkEnd w:id="6"/>
    <w:bookmarkStart w:name="z13" w:id="7"/>
    <w:p>
      <w:pPr>
        <w:spacing w:after="0"/>
        <w:ind w:left="0"/>
        <w:jc w:val="both"/>
      </w:pPr>
      <w:r>
        <w:rPr>
          <w:rFonts w:ascii="Times New Roman"/>
          <w:b w:val="false"/>
          <w:i w:val="false"/>
          <w:color w:val="000000"/>
          <w:sz w:val="28"/>
        </w:rPr>
        <w:t xml:space="preserve">
      Оценка экономического развития сельского хозяйства государств-членов осуществляется по перечню основных показателей и продукции агропромышленного комплекса согласно приложению № 1. </w:t>
      </w:r>
    </w:p>
    <w:bookmarkEnd w:id="7"/>
    <w:bookmarkStart w:name="z14" w:id="8"/>
    <w:p>
      <w:pPr>
        <w:spacing w:after="0"/>
        <w:ind w:left="0"/>
        <w:jc w:val="both"/>
      </w:pPr>
      <w:r>
        <w:rPr>
          <w:rFonts w:ascii="Times New Roman"/>
          <w:b w:val="false"/>
          <w:i w:val="false"/>
          <w:color w:val="000000"/>
          <w:sz w:val="28"/>
        </w:rPr>
        <w:t>
      Результаты прогнозирования используются при формировании балансов спроса и предложения в соответствии с Методологией расчета прогнозных балансов спроса и предложения государств – членов Евразийского экономического союза по сельскохозяйственной продукции и продовольствию, льноволокну, кожевенному сырью, хлопковолокну и шерсти (приложение к Рекомендации Коллегии Евразийской экономической комиссии от 6 сентября 2016 г. № 15) (далее – Методология расчета прогнозных балансов).</w:t>
      </w:r>
    </w:p>
    <w:bookmarkEnd w:id="8"/>
    <w:bookmarkStart w:name="z15" w:id="9"/>
    <w:p>
      <w:pPr>
        <w:spacing w:after="0"/>
        <w:ind w:left="0"/>
        <w:jc w:val="left"/>
      </w:pPr>
      <w:r>
        <w:rPr>
          <w:rFonts w:ascii="Times New Roman"/>
          <w:b/>
          <w:i w:val="false"/>
          <w:color w:val="000000"/>
        </w:rPr>
        <w:t xml:space="preserve"> II. Основные понятия</w:t>
      </w:r>
    </w:p>
    <w:bookmarkEnd w:id="9"/>
    <w:bookmarkStart w:name="z16" w:id="10"/>
    <w:p>
      <w:pPr>
        <w:spacing w:after="0"/>
        <w:ind w:left="0"/>
        <w:jc w:val="both"/>
      </w:pPr>
      <w:r>
        <w:rPr>
          <w:rFonts w:ascii="Times New Roman"/>
          <w:b w:val="false"/>
          <w:i w:val="false"/>
          <w:color w:val="000000"/>
          <w:sz w:val="28"/>
        </w:rPr>
        <w:t>
      Для целей настоящей Методологии используются понятия, которые означают следующее:</w:t>
      </w:r>
    </w:p>
    <w:bookmarkEnd w:id="10"/>
    <w:bookmarkStart w:name="z17" w:id="11"/>
    <w:p>
      <w:pPr>
        <w:spacing w:after="0"/>
        <w:ind w:left="0"/>
        <w:jc w:val="both"/>
      </w:pPr>
      <w:r>
        <w:rPr>
          <w:rFonts w:ascii="Times New Roman"/>
          <w:b w:val="false"/>
          <w:i w:val="false"/>
          <w:color w:val="000000"/>
          <w:sz w:val="28"/>
        </w:rPr>
        <w:t>
      "базовая продукция сельского хозяйства" – продукция, предназначенная для удовлетворения основных потребностей в пище и сельскохозяйственном сырье, полученная в процессе ведения сельского хозяйства, а также в процессе первичной переработки, которая не приводит к видоизменению ее главных свойств и назначения;</w:t>
      </w:r>
    </w:p>
    <w:bookmarkEnd w:id="11"/>
    <w:bookmarkStart w:name="z18" w:id="12"/>
    <w:p>
      <w:pPr>
        <w:spacing w:after="0"/>
        <w:ind w:left="0"/>
        <w:jc w:val="both"/>
      </w:pPr>
      <w:r>
        <w:rPr>
          <w:rFonts w:ascii="Times New Roman"/>
          <w:b w:val="false"/>
          <w:i w:val="false"/>
          <w:color w:val="000000"/>
          <w:sz w:val="28"/>
        </w:rPr>
        <w:t>
      "взаимная торговля" – ввоз и вывоз товаров между государствами-членами;</w:t>
      </w:r>
    </w:p>
    <w:bookmarkEnd w:id="12"/>
    <w:bookmarkStart w:name="z19" w:id="13"/>
    <w:p>
      <w:pPr>
        <w:spacing w:after="0"/>
        <w:ind w:left="0"/>
        <w:jc w:val="both"/>
      </w:pPr>
      <w:r>
        <w:rPr>
          <w:rFonts w:ascii="Times New Roman"/>
          <w:b w:val="false"/>
          <w:i w:val="false"/>
          <w:color w:val="000000"/>
          <w:sz w:val="28"/>
        </w:rPr>
        <w:t>
      "взаимная торговля (ввоз)" – ввоз на территорию государства-члена с территории другого государства-члена товаров, которые добавляются к запасам материальных ресурсов государства-члена;</w:t>
      </w:r>
    </w:p>
    <w:bookmarkEnd w:id="13"/>
    <w:bookmarkStart w:name="z20" w:id="14"/>
    <w:p>
      <w:pPr>
        <w:spacing w:after="0"/>
        <w:ind w:left="0"/>
        <w:jc w:val="both"/>
      </w:pPr>
      <w:r>
        <w:rPr>
          <w:rFonts w:ascii="Times New Roman"/>
          <w:b w:val="false"/>
          <w:i w:val="false"/>
          <w:color w:val="000000"/>
          <w:sz w:val="28"/>
        </w:rPr>
        <w:t>
      "взаимная торговля (вывоз)" – вывоз с территории одного государства-члена на территорию другого государства-члена товаров, которые уменьшают запасы материальных ресурсов государства-члена;</w:t>
      </w:r>
    </w:p>
    <w:bookmarkEnd w:id="14"/>
    <w:bookmarkStart w:name="z21" w:id="15"/>
    <w:p>
      <w:pPr>
        <w:spacing w:after="0"/>
        <w:ind w:left="0"/>
        <w:jc w:val="both"/>
      </w:pPr>
      <w:r>
        <w:rPr>
          <w:rFonts w:ascii="Times New Roman"/>
          <w:b w:val="false"/>
          <w:i w:val="false"/>
          <w:color w:val="000000"/>
          <w:sz w:val="28"/>
        </w:rPr>
        <w:t>
      "внешняя торговля" – импорт и экспорт товаров между государством-членом и третьими странами;</w:t>
      </w:r>
    </w:p>
    <w:bookmarkEnd w:id="15"/>
    <w:bookmarkStart w:name="z22" w:id="16"/>
    <w:p>
      <w:pPr>
        <w:spacing w:after="0"/>
        <w:ind w:left="0"/>
        <w:jc w:val="both"/>
      </w:pPr>
      <w:r>
        <w:rPr>
          <w:rFonts w:ascii="Times New Roman"/>
          <w:b w:val="false"/>
          <w:i w:val="false"/>
          <w:color w:val="000000"/>
          <w:sz w:val="28"/>
        </w:rPr>
        <w:t>
      "внешняя торговля (импорт)" – ввоз на территорию государства-члена с территории третьей страны товаров, которые добавляются к запасам материальных ресурсов государства-члена;</w:t>
      </w:r>
    </w:p>
    <w:bookmarkEnd w:id="16"/>
    <w:bookmarkStart w:name="z23" w:id="17"/>
    <w:p>
      <w:pPr>
        <w:spacing w:after="0"/>
        <w:ind w:left="0"/>
        <w:jc w:val="both"/>
      </w:pPr>
      <w:r>
        <w:rPr>
          <w:rFonts w:ascii="Times New Roman"/>
          <w:b w:val="false"/>
          <w:i w:val="false"/>
          <w:color w:val="000000"/>
          <w:sz w:val="28"/>
        </w:rPr>
        <w:t>
      "внешняя торговля (экспорт)" – вывоз с территории государства-члена на территорию третьей страны товаров, которые уменьшают запасы материальных ресурсов государства-члена;</w:t>
      </w:r>
    </w:p>
    <w:bookmarkEnd w:id="17"/>
    <w:bookmarkStart w:name="z24" w:id="18"/>
    <w:p>
      <w:pPr>
        <w:spacing w:after="0"/>
        <w:ind w:left="0"/>
        <w:jc w:val="both"/>
      </w:pPr>
      <w:r>
        <w:rPr>
          <w:rFonts w:ascii="Times New Roman"/>
          <w:b w:val="false"/>
          <w:i w:val="false"/>
          <w:color w:val="000000"/>
          <w:sz w:val="28"/>
        </w:rPr>
        <w:t>
      "продукт переработки сельскохозяйственной продукции" – продукт, полученный в результате переработки продукции сельского хозяйства.</w:t>
      </w:r>
    </w:p>
    <w:bookmarkEnd w:id="18"/>
    <w:bookmarkStart w:name="z25" w:id="19"/>
    <w:p>
      <w:pPr>
        <w:spacing w:after="0"/>
        <w:ind w:left="0"/>
        <w:jc w:val="left"/>
      </w:pPr>
      <w:r>
        <w:rPr>
          <w:rFonts w:ascii="Times New Roman"/>
          <w:b/>
          <w:i w:val="false"/>
          <w:color w:val="000000"/>
        </w:rPr>
        <w:t xml:space="preserve"> III. Прогноз экономического развития сельского хозяйства государств-членов</w:t>
      </w:r>
    </w:p>
    <w:bookmarkEnd w:id="19"/>
    <w:bookmarkStart w:name="z26" w:id="20"/>
    <w:p>
      <w:pPr>
        <w:spacing w:after="0"/>
        <w:ind w:left="0"/>
        <w:jc w:val="both"/>
      </w:pPr>
      <w:r>
        <w:rPr>
          <w:rFonts w:ascii="Times New Roman"/>
          <w:b w:val="false"/>
          <w:i w:val="false"/>
          <w:color w:val="000000"/>
          <w:sz w:val="28"/>
        </w:rPr>
        <w:t>
      Прогноз по базовой продукции сельского хозяйства формируется в разрезе следующих показателей:</w:t>
      </w:r>
    </w:p>
    <w:bookmarkEnd w:id="20"/>
    <w:bookmarkStart w:name="z27" w:id="21"/>
    <w:p>
      <w:pPr>
        <w:spacing w:after="0"/>
        <w:ind w:left="0"/>
        <w:jc w:val="both"/>
      </w:pPr>
      <w:r>
        <w:rPr>
          <w:rFonts w:ascii="Times New Roman"/>
          <w:b w:val="false"/>
          <w:i w:val="false"/>
          <w:color w:val="000000"/>
          <w:sz w:val="28"/>
        </w:rPr>
        <w:t>
      посевные (посадочные) площади (тыс. га);</w:t>
      </w:r>
    </w:p>
    <w:bookmarkEnd w:id="21"/>
    <w:bookmarkStart w:name="z28" w:id="22"/>
    <w:p>
      <w:pPr>
        <w:spacing w:after="0"/>
        <w:ind w:left="0"/>
        <w:jc w:val="both"/>
      </w:pPr>
      <w:r>
        <w:rPr>
          <w:rFonts w:ascii="Times New Roman"/>
          <w:b w:val="false"/>
          <w:i w:val="false"/>
          <w:color w:val="000000"/>
          <w:sz w:val="28"/>
        </w:rPr>
        <w:t>
      поголовье скота и птицы на начало года (для скота – тыс. голов, для птицы – млн. голов);</w:t>
      </w:r>
    </w:p>
    <w:bookmarkEnd w:id="22"/>
    <w:bookmarkStart w:name="z29" w:id="23"/>
    <w:p>
      <w:pPr>
        <w:spacing w:after="0"/>
        <w:ind w:left="0"/>
        <w:jc w:val="both"/>
      </w:pPr>
      <w:r>
        <w:rPr>
          <w:rFonts w:ascii="Times New Roman"/>
          <w:b w:val="false"/>
          <w:i w:val="false"/>
          <w:color w:val="000000"/>
          <w:sz w:val="28"/>
        </w:rPr>
        <w:t>
      производство (тыс. тонн, яйца – млн штук, кожевенное сырье – тыс. штук, овцы и козы – в убойном весе, хлопковолокно, льноволокно и шерсть – тонн);</w:t>
      </w:r>
    </w:p>
    <w:bookmarkEnd w:id="23"/>
    <w:bookmarkStart w:name="z30" w:id="24"/>
    <w:p>
      <w:pPr>
        <w:spacing w:after="0"/>
        <w:ind w:left="0"/>
        <w:jc w:val="both"/>
      </w:pPr>
      <w:r>
        <w:rPr>
          <w:rFonts w:ascii="Times New Roman"/>
          <w:b w:val="false"/>
          <w:i w:val="false"/>
          <w:color w:val="000000"/>
          <w:sz w:val="28"/>
        </w:rPr>
        <w:t>
      внешняя торговля (импорт и экспорт) (тыс. тонн, яйца – млн штук, кожевенное сырье – тыс. штук, баранина, хлопковолокно, льноволокно и шерсть – тонн);</w:t>
      </w:r>
    </w:p>
    <w:bookmarkEnd w:id="24"/>
    <w:bookmarkStart w:name="z31" w:id="25"/>
    <w:p>
      <w:pPr>
        <w:spacing w:after="0"/>
        <w:ind w:left="0"/>
        <w:jc w:val="both"/>
      </w:pPr>
      <w:r>
        <w:rPr>
          <w:rFonts w:ascii="Times New Roman"/>
          <w:b w:val="false"/>
          <w:i w:val="false"/>
          <w:color w:val="000000"/>
          <w:sz w:val="28"/>
        </w:rPr>
        <w:t>
      взаимная торговля (ввоз и вывоз) (тыс. тонн, яйца – млн штук, кожевенное сырье – тыс. штук, баранина, хлопковолокно, льноволокно и шерсть – тонн);</w:t>
      </w:r>
    </w:p>
    <w:bookmarkEnd w:id="25"/>
    <w:bookmarkStart w:name="z32" w:id="26"/>
    <w:p>
      <w:pPr>
        <w:spacing w:after="0"/>
        <w:ind w:left="0"/>
        <w:jc w:val="both"/>
      </w:pPr>
      <w:r>
        <w:rPr>
          <w:rFonts w:ascii="Times New Roman"/>
          <w:b w:val="false"/>
          <w:i w:val="false"/>
          <w:color w:val="000000"/>
          <w:sz w:val="28"/>
        </w:rPr>
        <w:t>
      внутреннее использование (тыс. тонн, яйца – млн штук, кожевенное сырье – тыс. штук, баранина, хлопковолокно, льноволокно и шерсть – тонн);</w:t>
      </w:r>
    </w:p>
    <w:bookmarkEnd w:id="26"/>
    <w:bookmarkStart w:name="z33" w:id="27"/>
    <w:p>
      <w:pPr>
        <w:spacing w:after="0"/>
        <w:ind w:left="0"/>
        <w:jc w:val="both"/>
      </w:pPr>
      <w:r>
        <w:rPr>
          <w:rFonts w:ascii="Times New Roman"/>
          <w:b w:val="false"/>
          <w:i w:val="false"/>
          <w:color w:val="000000"/>
          <w:sz w:val="28"/>
        </w:rPr>
        <w:t>
      уровень самообеспеченности (%).</w:t>
      </w:r>
    </w:p>
    <w:bookmarkEnd w:id="27"/>
    <w:bookmarkStart w:name="z34" w:id="28"/>
    <w:p>
      <w:pPr>
        <w:spacing w:after="0"/>
        <w:ind w:left="0"/>
        <w:jc w:val="both"/>
      </w:pPr>
      <w:r>
        <w:rPr>
          <w:rFonts w:ascii="Times New Roman"/>
          <w:b w:val="false"/>
          <w:i w:val="false"/>
          <w:color w:val="000000"/>
          <w:sz w:val="28"/>
        </w:rPr>
        <w:t>
      Данные по взаимной торговле (ввозу) одного государства-члена формируются по данным взаимной торговли (вывоза) других государств-членов.</w:t>
      </w:r>
    </w:p>
    <w:bookmarkEnd w:id="28"/>
    <w:bookmarkStart w:name="z35" w:id="29"/>
    <w:p>
      <w:pPr>
        <w:spacing w:after="0"/>
        <w:ind w:left="0"/>
        <w:jc w:val="both"/>
      </w:pPr>
      <w:r>
        <w:rPr>
          <w:rFonts w:ascii="Times New Roman"/>
          <w:b w:val="false"/>
          <w:i w:val="false"/>
          <w:color w:val="000000"/>
          <w:sz w:val="28"/>
        </w:rPr>
        <w:t>
      Прогноз по продуктам переработки сельскохозяйственной продукции (сахару белому и маслам растительным) формируется в разрезе следующих показателей:</w:t>
      </w:r>
    </w:p>
    <w:bookmarkEnd w:id="29"/>
    <w:bookmarkStart w:name="z36" w:id="30"/>
    <w:p>
      <w:pPr>
        <w:spacing w:after="0"/>
        <w:ind w:left="0"/>
        <w:jc w:val="both"/>
      </w:pPr>
      <w:r>
        <w:rPr>
          <w:rFonts w:ascii="Times New Roman"/>
          <w:b w:val="false"/>
          <w:i w:val="false"/>
          <w:color w:val="000000"/>
          <w:sz w:val="28"/>
        </w:rPr>
        <w:t>
      производство (тыс. тонн);</w:t>
      </w:r>
    </w:p>
    <w:bookmarkEnd w:id="30"/>
    <w:bookmarkStart w:name="z37" w:id="31"/>
    <w:p>
      <w:pPr>
        <w:spacing w:after="0"/>
        <w:ind w:left="0"/>
        <w:jc w:val="both"/>
      </w:pPr>
      <w:r>
        <w:rPr>
          <w:rFonts w:ascii="Times New Roman"/>
          <w:b w:val="false"/>
          <w:i w:val="false"/>
          <w:color w:val="000000"/>
          <w:sz w:val="28"/>
        </w:rPr>
        <w:t>
      внешняя торговля (импорт и экспорт) (тыс. тонн);</w:t>
      </w:r>
    </w:p>
    <w:bookmarkEnd w:id="31"/>
    <w:bookmarkStart w:name="z38" w:id="32"/>
    <w:p>
      <w:pPr>
        <w:spacing w:after="0"/>
        <w:ind w:left="0"/>
        <w:jc w:val="both"/>
      </w:pPr>
      <w:r>
        <w:rPr>
          <w:rFonts w:ascii="Times New Roman"/>
          <w:b w:val="false"/>
          <w:i w:val="false"/>
          <w:color w:val="000000"/>
          <w:sz w:val="28"/>
        </w:rPr>
        <w:t>
      взаимная торговля (ввоз и вывоз) (тыс. тонн);</w:t>
      </w:r>
    </w:p>
    <w:bookmarkEnd w:id="32"/>
    <w:bookmarkStart w:name="z39" w:id="33"/>
    <w:p>
      <w:pPr>
        <w:spacing w:after="0"/>
        <w:ind w:left="0"/>
        <w:jc w:val="both"/>
      </w:pPr>
      <w:r>
        <w:rPr>
          <w:rFonts w:ascii="Times New Roman"/>
          <w:b w:val="false"/>
          <w:i w:val="false"/>
          <w:color w:val="000000"/>
          <w:sz w:val="28"/>
        </w:rPr>
        <w:t>
      внутреннее использование (тыс. тонн);</w:t>
      </w:r>
    </w:p>
    <w:bookmarkEnd w:id="33"/>
    <w:bookmarkStart w:name="z40" w:id="34"/>
    <w:p>
      <w:pPr>
        <w:spacing w:after="0"/>
        <w:ind w:left="0"/>
        <w:jc w:val="both"/>
      </w:pPr>
      <w:r>
        <w:rPr>
          <w:rFonts w:ascii="Times New Roman"/>
          <w:b w:val="false"/>
          <w:i w:val="false"/>
          <w:color w:val="000000"/>
          <w:sz w:val="28"/>
        </w:rPr>
        <w:t>
      уровень самообеспеченности (%).</w:t>
      </w:r>
    </w:p>
    <w:bookmarkEnd w:id="34"/>
    <w:bookmarkStart w:name="z41" w:id="35"/>
    <w:p>
      <w:pPr>
        <w:spacing w:after="0"/>
        <w:ind w:left="0"/>
        <w:jc w:val="both"/>
      </w:pPr>
      <w:r>
        <w:rPr>
          <w:rFonts w:ascii="Times New Roman"/>
          <w:b w:val="false"/>
          <w:i w:val="false"/>
          <w:color w:val="000000"/>
          <w:sz w:val="28"/>
        </w:rPr>
        <w:t>
      При расчете объемов показателей торговли (внешней, взаимной) в натуральном выражении учитываются объемы продуктов переработки сельскохозяйственной продукции в пересчете в исходный сельскохозяйственный продукт по коэффициентам, предусмотренным приложением № 4 к Методологии расчета прогнозных балансов.</w:t>
      </w:r>
    </w:p>
    <w:bookmarkEnd w:id="35"/>
    <w:bookmarkStart w:name="z42" w:id="36"/>
    <w:p>
      <w:pPr>
        <w:spacing w:after="0"/>
        <w:ind w:left="0"/>
        <w:jc w:val="both"/>
      </w:pPr>
      <w:r>
        <w:rPr>
          <w:rFonts w:ascii="Times New Roman"/>
          <w:b w:val="false"/>
          <w:i w:val="false"/>
          <w:color w:val="000000"/>
          <w:sz w:val="28"/>
        </w:rPr>
        <w:t>
      Уровень самообеспеченности государства-члена (УСi) определяется как отношение объема собственного производства соответствующего вида продукции к его внутреннему использованию и выражается в процентах: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1582"/>
        <w:gridCol w:w="2242"/>
        <w:gridCol w:w="4999"/>
      </w:tblGrid>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УСi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3" w:id="37"/>
    <w:p>
      <w:pPr>
        <w:spacing w:after="0"/>
        <w:ind w:left="0"/>
        <w:jc w:val="both"/>
      </w:pPr>
      <w:r>
        <w:rPr>
          <w:rFonts w:ascii="Times New Roman"/>
          <w:b w:val="false"/>
          <w:i w:val="false"/>
          <w:color w:val="000000"/>
          <w:sz w:val="28"/>
        </w:rPr>
        <w:t>
      где:</w:t>
      </w:r>
    </w:p>
    <w:bookmarkEnd w:id="37"/>
    <w:bookmarkStart w:name="z44" w:id="38"/>
    <w:p>
      <w:pPr>
        <w:spacing w:after="0"/>
        <w:ind w:left="0"/>
        <w:jc w:val="both"/>
      </w:pPr>
      <w:r>
        <w:rPr>
          <w:rFonts w:ascii="Times New Roman"/>
          <w:b w:val="false"/>
          <w:i w:val="false"/>
          <w:color w:val="000000"/>
          <w:sz w:val="28"/>
        </w:rPr>
        <w:t xml:space="preserve">
      Пi – производство i-го вида продукции агропромышленного комплекса государства-члена; </w:t>
      </w:r>
    </w:p>
    <w:bookmarkEnd w:id="38"/>
    <w:bookmarkStart w:name="z45" w:id="39"/>
    <w:p>
      <w:pPr>
        <w:spacing w:after="0"/>
        <w:ind w:left="0"/>
        <w:jc w:val="both"/>
      </w:pPr>
      <w:r>
        <w:rPr>
          <w:rFonts w:ascii="Times New Roman"/>
          <w:b w:val="false"/>
          <w:i w:val="false"/>
          <w:color w:val="000000"/>
          <w:sz w:val="28"/>
        </w:rPr>
        <w:t xml:space="preserve">
      ВИi – внутреннее использование i-го вида продукции агропромышленного комплекса государства-члена. </w:t>
      </w:r>
    </w:p>
    <w:bookmarkEnd w:id="39"/>
    <w:bookmarkStart w:name="z46" w:id="40"/>
    <w:p>
      <w:pPr>
        <w:spacing w:after="0"/>
        <w:ind w:left="0"/>
        <w:jc w:val="both"/>
      </w:pPr>
      <w:r>
        <w:rPr>
          <w:rFonts w:ascii="Times New Roman"/>
          <w:b w:val="false"/>
          <w:i w:val="false"/>
          <w:color w:val="000000"/>
          <w:sz w:val="28"/>
        </w:rPr>
        <w:t>
      Прогнозирование осуществляется в 4 этапа: подготовительный, расчетный, экспертная корректировка расчетных параметров прогнозирования, уточнение прогноза развития агропромышленных комплексов государств-членов на этапе реализации.</w:t>
      </w:r>
    </w:p>
    <w:bookmarkEnd w:id="40"/>
    <w:bookmarkStart w:name="z47" w:id="41"/>
    <w:p>
      <w:pPr>
        <w:spacing w:after="0"/>
        <w:ind w:left="0"/>
        <w:jc w:val="left"/>
      </w:pPr>
      <w:r>
        <w:rPr>
          <w:rFonts w:ascii="Times New Roman"/>
          <w:b/>
          <w:i w:val="false"/>
          <w:color w:val="000000"/>
        </w:rPr>
        <w:t xml:space="preserve"> 1. Подготовительный этап</w:t>
      </w:r>
    </w:p>
    <w:bookmarkEnd w:id="41"/>
    <w:bookmarkStart w:name="z48" w:id="42"/>
    <w:p>
      <w:pPr>
        <w:spacing w:after="0"/>
        <w:ind w:left="0"/>
        <w:jc w:val="both"/>
      </w:pPr>
      <w:r>
        <w:rPr>
          <w:rFonts w:ascii="Times New Roman"/>
          <w:b w:val="false"/>
          <w:i w:val="false"/>
          <w:color w:val="000000"/>
          <w:sz w:val="28"/>
        </w:rPr>
        <w:t xml:space="preserve">
      В рамках подготовительного этапа формируется соответствующая база исходных (базовых) данных по показателям и продукции по перечню, предусмотренному приложением № 1 к настоящей Методологии, с использованием официальной статистической информации государств-членов, данных таможенной статистики, а также данных Евразийской экономической комиссии и других официальных источников. </w:t>
      </w:r>
    </w:p>
    <w:bookmarkEnd w:id="42"/>
    <w:bookmarkStart w:name="z49" w:id="43"/>
    <w:p>
      <w:pPr>
        <w:spacing w:after="0"/>
        <w:ind w:left="0"/>
        <w:jc w:val="both"/>
      </w:pPr>
      <w:r>
        <w:rPr>
          <w:rFonts w:ascii="Times New Roman"/>
          <w:b w:val="false"/>
          <w:i w:val="false"/>
          <w:color w:val="000000"/>
          <w:sz w:val="28"/>
        </w:rPr>
        <w:t>
      Для выявления основных тенденций при построении линий тренда в качестве исходной информации используются фактические данные с различными временными периодами, предшествующими прогнозному периоду:</w:t>
      </w:r>
    </w:p>
    <w:bookmarkEnd w:id="43"/>
    <w:bookmarkStart w:name="z50" w:id="44"/>
    <w:p>
      <w:pPr>
        <w:spacing w:after="0"/>
        <w:ind w:left="0"/>
        <w:jc w:val="both"/>
      </w:pPr>
      <w:r>
        <w:rPr>
          <w:rFonts w:ascii="Times New Roman"/>
          <w:b w:val="false"/>
          <w:i w:val="false"/>
          <w:color w:val="000000"/>
          <w:sz w:val="28"/>
        </w:rPr>
        <w:t>
      за период не менее 15 лет;</w:t>
      </w:r>
    </w:p>
    <w:bookmarkEnd w:id="44"/>
    <w:bookmarkStart w:name="z51" w:id="45"/>
    <w:p>
      <w:pPr>
        <w:spacing w:after="0"/>
        <w:ind w:left="0"/>
        <w:jc w:val="both"/>
      </w:pPr>
      <w:r>
        <w:rPr>
          <w:rFonts w:ascii="Times New Roman"/>
          <w:b w:val="false"/>
          <w:i w:val="false"/>
          <w:color w:val="000000"/>
          <w:sz w:val="28"/>
        </w:rPr>
        <w:t>
      за период не менее 10 лет;</w:t>
      </w:r>
    </w:p>
    <w:bookmarkEnd w:id="45"/>
    <w:bookmarkStart w:name="z52" w:id="46"/>
    <w:p>
      <w:pPr>
        <w:spacing w:after="0"/>
        <w:ind w:left="0"/>
        <w:jc w:val="both"/>
      </w:pPr>
      <w:r>
        <w:rPr>
          <w:rFonts w:ascii="Times New Roman"/>
          <w:b w:val="false"/>
          <w:i w:val="false"/>
          <w:color w:val="000000"/>
          <w:sz w:val="28"/>
        </w:rPr>
        <w:t>
      за период не менее 5 лет.</w:t>
      </w:r>
    </w:p>
    <w:bookmarkEnd w:id="46"/>
    <w:bookmarkStart w:name="z53" w:id="47"/>
    <w:p>
      <w:pPr>
        <w:spacing w:after="0"/>
        <w:ind w:left="0"/>
        <w:jc w:val="both"/>
      </w:pPr>
      <w:r>
        <w:rPr>
          <w:rFonts w:ascii="Times New Roman"/>
          <w:b w:val="false"/>
          <w:i w:val="false"/>
          <w:color w:val="000000"/>
          <w:sz w:val="28"/>
        </w:rPr>
        <w:t>
      Для показателей торговли в качестве исходных данных используются фактические данные начиная с 2012 года.</w:t>
      </w:r>
    </w:p>
    <w:bookmarkEnd w:id="47"/>
    <w:bookmarkStart w:name="z54" w:id="48"/>
    <w:p>
      <w:pPr>
        <w:spacing w:after="0"/>
        <w:ind w:left="0"/>
        <w:jc w:val="both"/>
      </w:pPr>
      <w:r>
        <w:rPr>
          <w:rFonts w:ascii="Times New Roman"/>
          <w:b w:val="false"/>
          <w:i w:val="false"/>
          <w:color w:val="000000"/>
          <w:sz w:val="28"/>
        </w:rPr>
        <w:t>
      В целях повышения точности прогнозных оценок база исходных (базовых) данных индикативных показателей может быть сформирована отдельно по каждой категории хозяйств с последующим суммированием показателей по государству-члену.</w:t>
      </w:r>
    </w:p>
    <w:bookmarkEnd w:id="48"/>
    <w:bookmarkStart w:name="z55" w:id="49"/>
    <w:p>
      <w:pPr>
        <w:spacing w:after="0"/>
        <w:ind w:left="0"/>
        <w:jc w:val="left"/>
      </w:pPr>
      <w:r>
        <w:rPr>
          <w:rFonts w:ascii="Times New Roman"/>
          <w:b/>
          <w:i w:val="false"/>
          <w:color w:val="000000"/>
        </w:rPr>
        <w:t xml:space="preserve"> 2. Расчетный этап </w:t>
      </w:r>
    </w:p>
    <w:bookmarkEnd w:id="49"/>
    <w:bookmarkStart w:name="z56" w:id="50"/>
    <w:p>
      <w:pPr>
        <w:spacing w:after="0"/>
        <w:ind w:left="0"/>
        <w:jc w:val="both"/>
      </w:pPr>
      <w:r>
        <w:rPr>
          <w:rFonts w:ascii="Times New Roman"/>
          <w:b w:val="false"/>
          <w:i w:val="false"/>
          <w:color w:val="000000"/>
          <w:sz w:val="28"/>
        </w:rPr>
        <w:t xml:space="preserve">
      Расчетный этап базируется на применении системы взаимосвязанных и последовательно применяющихся инструментов прогнозирования, позволяющих прежде всего провести оценку объемов производства сельскохозяйственных товаров в каждом государстве-члене. </w:t>
      </w:r>
    </w:p>
    <w:bookmarkEnd w:id="50"/>
    <w:bookmarkStart w:name="z57" w:id="51"/>
    <w:p>
      <w:pPr>
        <w:spacing w:after="0"/>
        <w:ind w:left="0"/>
        <w:jc w:val="both"/>
      </w:pPr>
      <w:r>
        <w:rPr>
          <w:rFonts w:ascii="Times New Roman"/>
          <w:b w:val="false"/>
          <w:i w:val="false"/>
          <w:color w:val="000000"/>
          <w:sz w:val="28"/>
        </w:rPr>
        <w:t xml:space="preserve">
      В рамках данного этапа проводятся оценка и экстраполяция тенденций развития индикативных показателей на основе построения линий тренда (линейного, логарифмического, экспоненциального, степенного), определяющие параметры соответствующих временных функций на основе соответствующих показателей за предыдущие годы. </w:t>
      </w:r>
    </w:p>
    <w:bookmarkEnd w:id="51"/>
    <w:bookmarkStart w:name="z58" w:id="52"/>
    <w:p>
      <w:pPr>
        <w:spacing w:after="0"/>
        <w:ind w:left="0"/>
        <w:jc w:val="both"/>
      </w:pPr>
      <w:r>
        <w:rPr>
          <w:rFonts w:ascii="Times New Roman"/>
          <w:b w:val="false"/>
          <w:i w:val="false"/>
          <w:color w:val="000000"/>
          <w:sz w:val="28"/>
        </w:rPr>
        <w:t>
      Метод экстраполяции предусматривает выполнение следующих процедур.</w:t>
      </w:r>
    </w:p>
    <w:bookmarkEnd w:id="52"/>
    <w:bookmarkStart w:name="z59" w:id="53"/>
    <w:p>
      <w:pPr>
        <w:spacing w:after="0"/>
        <w:ind w:left="0"/>
        <w:jc w:val="both"/>
      </w:pPr>
      <w:r>
        <w:rPr>
          <w:rFonts w:ascii="Times New Roman"/>
          <w:b w:val="false"/>
          <w:i w:val="false"/>
          <w:color w:val="000000"/>
          <w:sz w:val="28"/>
        </w:rPr>
        <w:t>
      Установление цели и задачи исследования, анализ объекта прогнозирования.</w:t>
      </w:r>
    </w:p>
    <w:bookmarkEnd w:id="53"/>
    <w:bookmarkStart w:name="z60" w:id="54"/>
    <w:p>
      <w:pPr>
        <w:spacing w:after="0"/>
        <w:ind w:left="0"/>
        <w:jc w:val="both"/>
      </w:pPr>
      <w:r>
        <w:rPr>
          <w:rFonts w:ascii="Times New Roman"/>
          <w:b w:val="false"/>
          <w:i w:val="false"/>
          <w:color w:val="000000"/>
          <w:sz w:val="28"/>
        </w:rPr>
        <w:t>
      Верификация исходных данных прогнозируемого показателя.</w:t>
      </w:r>
    </w:p>
    <w:bookmarkEnd w:id="54"/>
    <w:bookmarkStart w:name="z61" w:id="55"/>
    <w:p>
      <w:pPr>
        <w:spacing w:after="0"/>
        <w:ind w:left="0"/>
        <w:jc w:val="both"/>
      </w:pPr>
      <w:r>
        <w:rPr>
          <w:rFonts w:ascii="Times New Roman"/>
          <w:b w:val="false"/>
          <w:i w:val="false"/>
          <w:color w:val="000000"/>
          <w:sz w:val="28"/>
        </w:rPr>
        <w:t>
      Работы в рамках этой процедуры начинаются с проверки временного ряда, в результате которой устанавливаются полнота ряда (наличие данных за каждый год (месяц, квартал) ретроспективного периода) и сопоставимость данных, и при необходимости проводится приведение данных к сопоставимому виду. Если временной ряд представлен не полностью, то необходимо недостающие данные определить с помощью методов интерполяции в зависимости от характера протекания временного процесса.</w:t>
      </w:r>
    </w:p>
    <w:bookmarkEnd w:id="55"/>
    <w:bookmarkStart w:name="z62" w:id="56"/>
    <w:p>
      <w:pPr>
        <w:spacing w:after="0"/>
        <w:ind w:left="0"/>
        <w:jc w:val="both"/>
      </w:pPr>
      <w:r>
        <w:rPr>
          <w:rFonts w:ascii="Times New Roman"/>
          <w:b w:val="false"/>
          <w:i w:val="false"/>
          <w:color w:val="000000"/>
          <w:sz w:val="28"/>
        </w:rPr>
        <w:t>
      Наряду с этим осуществляется также формирование массива функций, который в последующем будет использован для выбора вида математической модели.</w:t>
      </w:r>
    </w:p>
    <w:bookmarkEnd w:id="56"/>
    <w:bookmarkStart w:name="z63" w:id="57"/>
    <w:p>
      <w:pPr>
        <w:spacing w:after="0"/>
        <w:ind w:left="0"/>
        <w:jc w:val="both"/>
      </w:pPr>
      <w:r>
        <w:rPr>
          <w:rFonts w:ascii="Times New Roman"/>
          <w:b w:val="false"/>
          <w:i w:val="false"/>
          <w:color w:val="000000"/>
          <w:sz w:val="28"/>
        </w:rPr>
        <w:t>
      Фильтрация исходного временного ряда.</w:t>
      </w:r>
    </w:p>
    <w:bookmarkEnd w:id="57"/>
    <w:bookmarkStart w:name="z64" w:id="58"/>
    <w:p>
      <w:pPr>
        <w:spacing w:after="0"/>
        <w:ind w:left="0"/>
        <w:jc w:val="both"/>
      </w:pPr>
      <w:r>
        <w:rPr>
          <w:rFonts w:ascii="Times New Roman"/>
          <w:b w:val="false"/>
          <w:i w:val="false"/>
          <w:color w:val="000000"/>
          <w:sz w:val="28"/>
        </w:rPr>
        <w:t>
      В результате этой процедуры устраняются случайные возмущения (флуктуации), возникающие под воздействием неучтенных факторов или ошибок измерения относительно наиболее вероятного протекания временного процесса, и тем самым исключается искажающее влияние случайных колебаний на выбор вида регрессии. Фильтрация исходного временного ряда включает в себя его сглаживание и выравнивание.</w:t>
      </w:r>
    </w:p>
    <w:bookmarkEnd w:id="58"/>
    <w:bookmarkStart w:name="z65" w:id="59"/>
    <w:p>
      <w:pPr>
        <w:spacing w:after="0"/>
        <w:ind w:left="0"/>
        <w:jc w:val="both"/>
      </w:pPr>
      <w:r>
        <w:rPr>
          <w:rFonts w:ascii="Times New Roman"/>
          <w:b w:val="false"/>
          <w:i w:val="false"/>
          <w:color w:val="000000"/>
          <w:sz w:val="28"/>
        </w:rPr>
        <w:t xml:space="preserve">
      Сглаживание применяется для устранения случайных отклонений из экспериментальных значений исходного временного ряда и более удобного представления исходного временного ряда без изменения его числовых значений. </w:t>
      </w:r>
    </w:p>
    <w:bookmarkEnd w:id="59"/>
    <w:bookmarkStart w:name="z66" w:id="60"/>
    <w:p>
      <w:pPr>
        <w:spacing w:after="0"/>
        <w:ind w:left="0"/>
        <w:jc w:val="both"/>
      </w:pPr>
      <w:r>
        <w:rPr>
          <w:rFonts w:ascii="Times New Roman"/>
          <w:b w:val="false"/>
          <w:i w:val="false"/>
          <w:color w:val="000000"/>
          <w:sz w:val="28"/>
        </w:rPr>
        <w:t>
      Сглаживание производится с помощью функций, применяемых в отношении группы опытных точек.</w:t>
      </w:r>
    </w:p>
    <w:bookmarkEnd w:id="60"/>
    <w:bookmarkStart w:name="z67" w:id="61"/>
    <w:p>
      <w:pPr>
        <w:spacing w:after="0"/>
        <w:ind w:left="0"/>
        <w:jc w:val="both"/>
      </w:pPr>
      <w:r>
        <w:rPr>
          <w:rFonts w:ascii="Times New Roman"/>
          <w:b w:val="false"/>
          <w:i w:val="false"/>
          <w:color w:val="000000"/>
          <w:sz w:val="28"/>
        </w:rPr>
        <w:t>
      Простая скользящая средняя определяется по следующей формуле (для расчетов может быть использован инструмент анализа данных "Скользящее среднее" из инструментов анализа Microsoft Excel):</w:t>
      </w:r>
    </w:p>
    <w:bookmarkEnd w:id="61"/>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2"/>
    <w:p>
      <w:pPr>
        <w:spacing w:after="0"/>
        <w:ind w:left="0"/>
        <w:jc w:val="both"/>
      </w:pPr>
      <w:r>
        <w:rPr>
          <w:rFonts w:ascii="Times New Roman"/>
          <w:b w:val="false"/>
          <w:i w:val="false"/>
          <w:color w:val="000000"/>
          <w:sz w:val="28"/>
        </w:rPr>
        <w:t>
      где:</w:t>
      </w:r>
    </w:p>
    <w:bookmarkEnd w:id="62"/>
    <w:bookmarkStart w:name="z69" w:id="63"/>
    <w:p>
      <w:pPr>
        <w:spacing w:after="0"/>
        <w:ind w:left="0"/>
        <w:jc w:val="both"/>
      </w:pPr>
      <w:r>
        <w:rPr>
          <w:rFonts w:ascii="Times New Roman"/>
          <w:b w:val="false"/>
          <w:i w:val="false"/>
          <w:color w:val="000000"/>
          <w:sz w:val="28"/>
        </w:rPr>
        <w:t>
      Ysma</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сглаженное значение показателя в году t;</w:t>
      </w:r>
    </w:p>
    <w:bookmarkEnd w:id="63"/>
    <w:bookmarkStart w:name="z70" w:id="64"/>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исходное значение показателя в году t;</w:t>
      </w:r>
    </w:p>
    <w:bookmarkEnd w:id="64"/>
    <w:bookmarkStart w:name="z71" w:id="65"/>
    <w:p>
      <w:pPr>
        <w:spacing w:after="0"/>
        <w:ind w:left="0"/>
        <w:jc w:val="both"/>
      </w:pPr>
      <w:r>
        <w:rPr>
          <w:rFonts w:ascii="Times New Roman"/>
          <w:b w:val="false"/>
          <w:i w:val="false"/>
          <w:color w:val="000000"/>
          <w:sz w:val="28"/>
        </w:rPr>
        <w:t>
      n – сглаживающий интервал (расчеты выполняются в вариантах интервалов 3 и 5 лет).</w:t>
      </w:r>
    </w:p>
    <w:bookmarkEnd w:id="65"/>
    <w:bookmarkStart w:name="z72" w:id="66"/>
    <w:p>
      <w:pPr>
        <w:spacing w:after="0"/>
        <w:ind w:left="0"/>
        <w:jc w:val="both"/>
      </w:pPr>
      <w:r>
        <w:rPr>
          <w:rFonts w:ascii="Times New Roman"/>
          <w:b w:val="false"/>
          <w:i w:val="false"/>
          <w:color w:val="000000"/>
          <w:sz w:val="28"/>
        </w:rPr>
        <w:t>
      Экспоненциальное сглаживание применяется для выравнивания особенно сильно колеблющихся динамических рядов. Данный метод позволяет давать обоснованные прогнозы на основании рядов динамики, имеющих умеренную связь во времени, и обеспечивает более полный учет показателей, достигнутых в последние годы. Сущность метода заключается в сглаживании временного ряда с помощью, взвешенной скользящей средней, в которой значения подчинены экспоненциальному закону.</w:t>
      </w:r>
    </w:p>
    <w:bookmarkEnd w:id="66"/>
    <w:bookmarkStart w:name="z73" w:id="67"/>
    <w:p>
      <w:pPr>
        <w:spacing w:after="0"/>
        <w:ind w:left="0"/>
        <w:jc w:val="both"/>
      </w:pPr>
      <w:r>
        <w:rPr>
          <w:rFonts w:ascii="Times New Roman"/>
          <w:b w:val="false"/>
          <w:i w:val="false"/>
          <w:color w:val="000000"/>
          <w:sz w:val="28"/>
        </w:rPr>
        <w:t>
      Экспоненциально взвешенная скользящая средняя определяется по следующей формуле (для расчетов может быть использован инструмент анализа данных "Экспоненциальное сглаживание" из инструментов анализа Microsoft Excel):</w:t>
      </w:r>
    </w:p>
    <w:bookmarkEnd w:id="67"/>
    <w:tbl>
      <w:tblPr>
        <w:tblW w:w="0" w:type="auto"/>
        <w:tblCellSpacing w:w="0" w:type="auto"/>
        <w:tblBorders>
          <w:top w:val="none"/>
          <w:left w:val="none"/>
          <w:bottom w:val="none"/>
          <w:right w:val="none"/>
          <w:insideH w:val="none"/>
          <w:insideV w:val="none"/>
        </w:tblBorders>
      </w:tblPr>
      <w:tblGrid>
        <w:gridCol w:w="12181"/>
        <w:gridCol w:w="119"/>
      </w:tblGrid>
      <w:tr>
        <w:trPr>
          <w:trHeight w:val="30" w:hRule="atLeast"/>
        </w:trPr>
        <w:tc>
          <w:tcPr>
            <w:tcW w:w="12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Yema</w:t>
            </w:r>
            <w:r>
              <w:rPr>
                <w:rFonts w:ascii="Times New Roman"/>
                <w:b w:val="false"/>
                <w:i w:val="false"/>
                <w:color w:val="000000"/>
                <w:vertAlign w:val="subscript"/>
              </w:rPr>
              <w:t xml:space="preserve">t </w:t>
            </w:r>
            <w:r>
              <w:rPr>
                <w:rFonts w:ascii="Times New Roman"/>
                <w:b w:val="false"/>
                <w:i w:val="false"/>
                <w:color w:val="000000"/>
                <w:sz w:val="20"/>
              </w:rPr>
              <w:t>= a × Y</w:t>
            </w:r>
            <w:r>
              <w:rPr>
                <w:rFonts w:ascii="Times New Roman"/>
                <w:b w:val="false"/>
                <w:i w:val="false"/>
                <w:color w:val="000000"/>
                <w:vertAlign w:val="subscript"/>
              </w:rPr>
              <w:t>t</w:t>
            </w:r>
            <w:r>
              <w:rPr>
                <w:rFonts w:ascii="Times New Roman"/>
                <w:b w:val="false"/>
                <w:i w:val="false"/>
                <w:color w:val="000000"/>
                <w:sz w:val="20"/>
              </w:rPr>
              <w:t xml:space="preserve"> + (1 – a) × Yema</w:t>
            </w:r>
            <w:r>
              <w:rPr>
                <w:rFonts w:ascii="Times New Roman"/>
                <w:b w:val="false"/>
                <w:i w:val="false"/>
                <w:color w:val="000000"/>
                <w:vertAlign w:val="subscript"/>
              </w:rPr>
              <w:t>t – 1</w:t>
            </w:r>
            <w:r>
              <w:rPr>
                <w:rFonts w:ascii="Times New Roman"/>
                <w:b w:val="false"/>
                <w:i w:val="false"/>
                <w:color w:val="000000"/>
                <w:sz w:val="20"/>
              </w:rPr>
              <w:t xml:space="preserve">, </w:t>
            </w:r>
          </w:p>
        </w:tc>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8"/>
    <w:p>
      <w:pPr>
        <w:spacing w:after="0"/>
        <w:ind w:left="0"/>
        <w:jc w:val="both"/>
      </w:pPr>
      <w:r>
        <w:rPr>
          <w:rFonts w:ascii="Times New Roman"/>
          <w:b w:val="false"/>
          <w:i w:val="false"/>
          <w:color w:val="000000"/>
          <w:sz w:val="28"/>
        </w:rPr>
        <w:t>
      где:</w:t>
      </w:r>
    </w:p>
    <w:bookmarkEnd w:id="68"/>
    <w:bookmarkStart w:name="z75" w:id="69"/>
    <w:p>
      <w:pPr>
        <w:spacing w:after="0"/>
        <w:ind w:left="0"/>
        <w:jc w:val="both"/>
      </w:pPr>
      <w:r>
        <w:rPr>
          <w:rFonts w:ascii="Times New Roman"/>
          <w:b w:val="false"/>
          <w:i w:val="false"/>
          <w:color w:val="000000"/>
          <w:sz w:val="28"/>
        </w:rPr>
        <w:t>
      Yema</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сглаженное значение показателя в году t;</w:t>
      </w:r>
    </w:p>
    <w:bookmarkEnd w:id="69"/>
    <w:bookmarkStart w:name="z76" w:id="70"/>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исходное значение показателя в году t;</w:t>
      </w:r>
    </w:p>
    <w:bookmarkEnd w:id="70"/>
    <w:bookmarkStart w:name="z77" w:id="71"/>
    <w:p>
      <w:pPr>
        <w:spacing w:after="0"/>
        <w:ind w:left="0"/>
        <w:jc w:val="both"/>
      </w:pPr>
      <w:r>
        <w:rPr>
          <w:rFonts w:ascii="Times New Roman"/>
          <w:b w:val="false"/>
          <w:i w:val="false"/>
          <w:color w:val="000000"/>
          <w:sz w:val="28"/>
        </w:rPr>
        <w:t>
      a – сглаживающая константа (0,7).</w:t>
      </w:r>
    </w:p>
    <w:bookmarkEnd w:id="71"/>
    <w:bookmarkStart w:name="z78" w:id="72"/>
    <w:p>
      <w:pPr>
        <w:spacing w:after="0"/>
        <w:ind w:left="0"/>
        <w:jc w:val="both"/>
      </w:pPr>
      <w:r>
        <w:rPr>
          <w:rFonts w:ascii="Times New Roman"/>
          <w:b w:val="false"/>
          <w:i w:val="false"/>
          <w:color w:val="000000"/>
          <w:sz w:val="28"/>
        </w:rPr>
        <w:t>
      Для линейной экстраполяции уравнение линии тренда будет иметь следующий вид:</w:t>
      </w:r>
    </w:p>
    <w:bookmarkEnd w:id="72"/>
    <w:bookmarkStart w:name="z79" w:id="73"/>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a</w:t>
      </w:r>
      <w:r>
        <w:rPr>
          <w:rFonts w:ascii="Times New Roman"/>
          <w:b w:val="false"/>
          <w:i w:val="false"/>
          <w:color w:val="000000"/>
          <w:vertAlign w:val="subscript"/>
        </w:rPr>
        <w:t>t</w:t>
      </w:r>
      <w:r>
        <w:rPr>
          <w:rFonts w:ascii="Times New Roman"/>
          <w:b w:val="false"/>
          <w:i w:val="false"/>
          <w:color w:val="000000"/>
          <w:sz w:val="28"/>
        </w:rPr>
        <w:t xml:space="preserve"> × t + b</w:t>
      </w:r>
      <w:r>
        <w:rPr>
          <w:rFonts w:ascii="Times New Roman"/>
          <w:b w:val="false"/>
          <w:i w:val="false"/>
          <w:color w:val="000000"/>
          <w:vertAlign w:val="subscript"/>
        </w:rPr>
        <w:t>1</w:t>
      </w:r>
      <w:r>
        <w:rPr>
          <w:rFonts w:ascii="Times New Roman"/>
          <w:b w:val="false"/>
          <w:i w:val="false"/>
          <w:color w:val="000000"/>
          <w:sz w:val="28"/>
        </w:rPr>
        <w:t xml:space="preserve">, </w:t>
      </w:r>
    </w:p>
    <w:bookmarkEnd w:id="73"/>
    <w:bookmarkStart w:name="z80" w:id="74"/>
    <w:p>
      <w:pPr>
        <w:spacing w:after="0"/>
        <w:ind w:left="0"/>
        <w:jc w:val="both"/>
      </w:pPr>
      <w:r>
        <w:rPr>
          <w:rFonts w:ascii="Times New Roman"/>
          <w:b w:val="false"/>
          <w:i w:val="false"/>
          <w:color w:val="000000"/>
          <w:sz w:val="28"/>
        </w:rPr>
        <w:t>
      где:</w:t>
      </w:r>
    </w:p>
    <w:bookmarkEnd w:id="74"/>
    <w:bookmarkStart w:name="z81" w:id="75"/>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значение показателя в году t;</w:t>
      </w:r>
    </w:p>
    <w:bookmarkEnd w:id="75"/>
    <w:bookmarkStart w:name="z82" w:id="76"/>
    <w:p>
      <w:pPr>
        <w:spacing w:after="0"/>
        <w:ind w:left="0"/>
        <w:jc w:val="both"/>
      </w:pPr>
      <w:r>
        <w:rPr>
          <w:rFonts w:ascii="Times New Roman"/>
          <w:b w:val="false"/>
          <w:i w:val="false"/>
          <w:color w:val="000000"/>
          <w:sz w:val="28"/>
        </w:rPr>
        <w:t>
      a</w:t>
      </w:r>
      <w:r>
        <w:rPr>
          <w:rFonts w:ascii="Times New Roman"/>
          <w:b w:val="false"/>
          <w:i w:val="false"/>
          <w:color w:val="000000"/>
          <w:vertAlign w:val="subscript"/>
        </w:rPr>
        <w:t>t</w:t>
      </w: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коэффициенты линейного ряда.</w:t>
      </w:r>
    </w:p>
    <w:bookmarkEnd w:id="76"/>
    <w:bookmarkStart w:name="z83" w:id="77"/>
    <w:p>
      <w:pPr>
        <w:spacing w:after="0"/>
        <w:ind w:left="0"/>
        <w:jc w:val="both"/>
      </w:pPr>
      <w:r>
        <w:rPr>
          <w:rFonts w:ascii="Times New Roman"/>
          <w:b w:val="false"/>
          <w:i w:val="false"/>
          <w:color w:val="000000"/>
          <w:sz w:val="28"/>
        </w:rPr>
        <w:t>
      Для экспоненциальной экстраполяции, характеризующей ускоренный (взрывной) рост фактора прогнозирования, уравнение линии тренда будет иметь следующий вид:</w:t>
      </w:r>
    </w:p>
    <w:bookmarkEnd w:id="77"/>
    <w:tbl>
      <w:tblPr>
        <w:tblW w:w="0" w:type="auto"/>
        <w:tblCellSpacing w:w="0" w:type="auto"/>
        <w:tblBorders>
          <w:top w:val="none"/>
          <w:left w:val="none"/>
          <w:bottom w:val="none"/>
          <w:right w:val="none"/>
          <w:insideH w:val="none"/>
          <w:insideV w:val="none"/>
        </w:tblBorders>
      </w:tblPr>
      <w:tblGrid>
        <w:gridCol w:w="11956"/>
        <w:gridCol w:w="344"/>
      </w:tblGrid>
      <w:tr>
        <w:trPr>
          <w:trHeight w:val="30" w:hRule="atLeast"/>
        </w:trPr>
        <w:tc>
          <w:tcPr>
            <w:tcW w:w="11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rPr>
                <w:rFonts w:ascii="Times New Roman"/>
                <w:b w:val="false"/>
                <w:i w:val="false"/>
                <w:color w:val="000000"/>
                <w:vertAlign w:val="subscript"/>
              </w:rPr>
              <w:t>t</w:t>
            </w:r>
            <w:r>
              <w:rPr>
                <w:rFonts w:ascii="Times New Roman"/>
                <w:b w:val="false"/>
                <w:i w:val="false"/>
                <w:color w:val="000000"/>
                <w:sz w:val="20"/>
              </w:rPr>
              <w:t xml:space="preserve"> = а</w:t>
            </w:r>
            <w:r>
              <w:rPr>
                <w:rFonts w:ascii="Times New Roman"/>
                <w:b w:val="false"/>
                <w:i w:val="false"/>
                <w:color w:val="000000"/>
                <w:vertAlign w:val="subscript"/>
              </w:rPr>
              <w:t>1</w:t>
            </w:r>
            <w:r>
              <w:rPr>
                <w:rFonts w:ascii="Times New Roman"/>
                <w:b w:val="false"/>
                <w:i w:val="false"/>
                <w:color w:val="000000"/>
                <w:sz w:val="20"/>
              </w:rPr>
              <w:t xml:space="preserve"> × b</w:t>
            </w:r>
            <w:r>
              <w:rPr>
                <w:rFonts w:ascii="Times New Roman"/>
                <w:b w:val="false"/>
                <w:i w:val="false"/>
                <w:color w:val="000000"/>
                <w:vertAlign w:val="subscript"/>
              </w:rPr>
              <w:t>e</w:t>
            </w:r>
            <w:r>
              <w:rPr>
                <w:rFonts w:ascii="Times New Roman"/>
                <w:b w:val="false"/>
                <w:i w:val="false"/>
                <w:color w:val="000000"/>
                <w:vertAlign w:val="superscript"/>
              </w:rPr>
              <w:t>t</w:t>
            </w:r>
            <w:r>
              <w:rPr>
                <w:rFonts w:ascii="Times New Roman"/>
                <w:b w:val="false"/>
                <w:i w:val="false"/>
                <w:color w:val="000000"/>
                <w:sz w:val="20"/>
              </w:rPr>
              <w:t xml:space="preserve">,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78"/>
    <w:p>
      <w:pPr>
        <w:spacing w:after="0"/>
        <w:ind w:left="0"/>
        <w:jc w:val="both"/>
      </w:pPr>
      <w:r>
        <w:rPr>
          <w:rFonts w:ascii="Times New Roman"/>
          <w:b w:val="false"/>
          <w:i w:val="false"/>
          <w:color w:val="000000"/>
          <w:sz w:val="28"/>
        </w:rPr>
        <w:t>
      где:</w:t>
      </w:r>
    </w:p>
    <w:bookmarkEnd w:id="78"/>
    <w:bookmarkStart w:name="z85" w:id="79"/>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значение показателя в году t;</w:t>
      </w:r>
    </w:p>
    <w:bookmarkEnd w:id="79"/>
    <w:bookmarkStart w:name="z86" w:id="8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vertAlign w:val="superscript"/>
        </w:rPr>
        <w:t>t</w:t>
      </w:r>
      <w:r>
        <w:rPr>
          <w:rFonts w:ascii="Times New Roman"/>
          <w:b w:val="false"/>
          <w:i w:val="false"/>
          <w:color w:val="000000"/>
          <w:sz w:val="28"/>
        </w:rPr>
        <w:t>– коэффициенты экспоненциального тренда.</w:t>
      </w:r>
    </w:p>
    <w:bookmarkEnd w:id="80"/>
    <w:bookmarkStart w:name="z87" w:id="81"/>
    <w:p>
      <w:pPr>
        <w:spacing w:after="0"/>
        <w:ind w:left="0"/>
        <w:jc w:val="both"/>
      </w:pPr>
      <w:r>
        <w:rPr>
          <w:rFonts w:ascii="Times New Roman"/>
          <w:b w:val="false"/>
          <w:i w:val="false"/>
          <w:color w:val="000000"/>
          <w:sz w:val="28"/>
        </w:rPr>
        <w:t>
      Логарифмическая линия тренда применяется при моделировании характеристик, значения которых вначале быстро меняются, а затем постепенно стабилизируются, уравнение линии тренда будет иметь следующий вид:</w:t>
      </w:r>
    </w:p>
    <w:bookmarkEnd w:id="81"/>
    <w:bookmarkStart w:name="z88" w:id="82"/>
    <w:p>
      <w:pPr>
        <w:spacing w:after="0"/>
        <w:ind w:left="0"/>
        <w:jc w:val="both"/>
      </w:pPr>
      <w:r>
        <w:rPr>
          <w:rFonts w:ascii="Times New Roman"/>
          <w:b w:val="false"/>
          <w:i w:val="false"/>
          <w:color w:val="000000"/>
          <w:sz w:val="28"/>
        </w:rPr>
        <w:t xml:space="preserve">
      y = c × ln(x) + b, </w:t>
      </w:r>
    </w:p>
    <w:bookmarkEnd w:id="82"/>
    <w:bookmarkStart w:name="z89" w:id="83"/>
    <w:p>
      <w:pPr>
        <w:spacing w:after="0"/>
        <w:ind w:left="0"/>
        <w:jc w:val="both"/>
      </w:pPr>
      <w:r>
        <w:rPr>
          <w:rFonts w:ascii="Times New Roman"/>
          <w:b w:val="false"/>
          <w:i w:val="false"/>
          <w:color w:val="000000"/>
          <w:sz w:val="28"/>
        </w:rPr>
        <w:t>
      где:</w:t>
      </w:r>
    </w:p>
    <w:bookmarkEnd w:id="83"/>
    <w:bookmarkStart w:name="z90" w:id="84"/>
    <w:p>
      <w:pPr>
        <w:spacing w:after="0"/>
        <w:ind w:left="0"/>
        <w:jc w:val="both"/>
      </w:pPr>
      <w:r>
        <w:rPr>
          <w:rFonts w:ascii="Times New Roman"/>
          <w:b w:val="false"/>
          <w:i w:val="false"/>
          <w:color w:val="000000"/>
          <w:sz w:val="28"/>
        </w:rPr>
        <w:t>
      b, c – константы.</w:t>
      </w:r>
    </w:p>
    <w:bookmarkEnd w:id="84"/>
    <w:bookmarkStart w:name="z91" w:id="85"/>
    <w:p>
      <w:pPr>
        <w:spacing w:after="0"/>
        <w:ind w:left="0"/>
        <w:jc w:val="both"/>
      </w:pPr>
      <w:r>
        <w:rPr>
          <w:rFonts w:ascii="Times New Roman"/>
          <w:b w:val="false"/>
          <w:i w:val="false"/>
          <w:color w:val="000000"/>
          <w:sz w:val="28"/>
        </w:rPr>
        <w:t>
      В отдельных случаях может также использоваться степенная экстраполяция, уравнение линии тренда которой имеет следующий вид:</w:t>
      </w:r>
    </w:p>
    <w:bookmarkEnd w:id="85"/>
    <w:bookmarkStart w:name="z92" w:id="86"/>
    <w:p>
      <w:pPr>
        <w:spacing w:after="0"/>
        <w:ind w:left="0"/>
        <w:jc w:val="both"/>
      </w:pPr>
      <w:r>
        <w:rPr>
          <w:rFonts w:ascii="Times New Roman"/>
          <w:b w:val="false"/>
          <w:i w:val="false"/>
          <w:color w:val="000000"/>
          <w:sz w:val="28"/>
        </w:rPr>
        <w:t>
      y = c × x</w:t>
      </w:r>
      <w:r>
        <w:rPr>
          <w:rFonts w:ascii="Times New Roman"/>
          <w:b w:val="false"/>
          <w:i w:val="false"/>
          <w:color w:val="000000"/>
          <w:vertAlign w:val="superscript"/>
        </w:rPr>
        <w:t>b</w:t>
      </w:r>
      <w:r>
        <w:rPr>
          <w:rFonts w:ascii="Times New Roman"/>
          <w:b w:val="false"/>
          <w:i w:val="false"/>
          <w:color w:val="000000"/>
          <w:sz w:val="28"/>
        </w:rPr>
        <w:t xml:space="preserve">, </w:t>
      </w:r>
    </w:p>
    <w:bookmarkEnd w:id="86"/>
    <w:bookmarkStart w:name="z93" w:id="87"/>
    <w:p>
      <w:pPr>
        <w:spacing w:after="0"/>
        <w:ind w:left="0"/>
        <w:jc w:val="both"/>
      </w:pPr>
      <w:r>
        <w:rPr>
          <w:rFonts w:ascii="Times New Roman"/>
          <w:b w:val="false"/>
          <w:i w:val="false"/>
          <w:color w:val="000000"/>
          <w:sz w:val="28"/>
        </w:rPr>
        <w:t>
      где:</w:t>
      </w:r>
    </w:p>
    <w:bookmarkEnd w:id="87"/>
    <w:bookmarkStart w:name="z94" w:id="88"/>
    <w:p>
      <w:pPr>
        <w:spacing w:after="0"/>
        <w:ind w:left="0"/>
        <w:jc w:val="both"/>
      </w:pPr>
      <w:r>
        <w:rPr>
          <w:rFonts w:ascii="Times New Roman"/>
          <w:b w:val="false"/>
          <w:i w:val="false"/>
          <w:color w:val="000000"/>
          <w:sz w:val="28"/>
        </w:rPr>
        <w:t>
      b, c – константы.</w:t>
      </w:r>
    </w:p>
    <w:bookmarkEnd w:id="88"/>
    <w:bookmarkStart w:name="z95" w:id="89"/>
    <w:p>
      <w:pPr>
        <w:spacing w:after="0"/>
        <w:ind w:left="0"/>
        <w:jc w:val="both"/>
      </w:pPr>
      <w:r>
        <w:rPr>
          <w:rFonts w:ascii="Times New Roman"/>
          <w:b w:val="false"/>
          <w:i w:val="false"/>
          <w:color w:val="000000"/>
          <w:sz w:val="28"/>
        </w:rPr>
        <w:t>
      При необходимости (наличии точек перегиба) может быть использована полиноминальная функция.</w:t>
      </w:r>
    </w:p>
    <w:bookmarkEnd w:id="89"/>
    <w:bookmarkStart w:name="z96" w:id="90"/>
    <w:p>
      <w:pPr>
        <w:spacing w:after="0"/>
        <w:ind w:left="0"/>
        <w:jc w:val="both"/>
      </w:pPr>
      <w:r>
        <w:rPr>
          <w:rFonts w:ascii="Times New Roman"/>
          <w:b w:val="false"/>
          <w:i w:val="false"/>
          <w:color w:val="000000"/>
          <w:sz w:val="28"/>
        </w:rPr>
        <w:t xml:space="preserve">
      В соответствии с указанными формулами на основе значений показателя за предыдущие годы рассчитываются параметры указанных функций. </w:t>
      </w:r>
    </w:p>
    <w:bookmarkEnd w:id="90"/>
    <w:bookmarkStart w:name="z97" w:id="91"/>
    <w:p>
      <w:pPr>
        <w:spacing w:after="0"/>
        <w:ind w:left="0"/>
        <w:jc w:val="both"/>
      </w:pPr>
      <w:r>
        <w:rPr>
          <w:rFonts w:ascii="Times New Roman"/>
          <w:b w:val="false"/>
          <w:i w:val="false"/>
          <w:color w:val="000000"/>
          <w:sz w:val="28"/>
        </w:rPr>
        <w:t xml:space="preserve">
      Значение показателя прогнозируется на 10 лет на основе полученных параметров. Аналогичные расчеты проводятся по показателям предыдущих лет с меньшим временным интервалом  (10 и 5 лет), что позволяет более объективно учесть последние тенденции при дальнейшей экстраполяции и экспертной оценке. </w:t>
      </w:r>
    </w:p>
    <w:bookmarkEnd w:id="91"/>
    <w:bookmarkStart w:name="z98" w:id="92"/>
    <w:p>
      <w:pPr>
        <w:spacing w:after="0"/>
        <w:ind w:left="0"/>
        <w:jc w:val="both"/>
      </w:pPr>
      <w:r>
        <w:rPr>
          <w:rFonts w:ascii="Times New Roman"/>
          <w:b w:val="false"/>
          <w:i w:val="false"/>
          <w:color w:val="000000"/>
          <w:sz w:val="28"/>
        </w:rPr>
        <w:t xml:space="preserve">
      Оценка качества модели прогнозирования. </w:t>
      </w:r>
    </w:p>
    <w:bookmarkEnd w:id="92"/>
    <w:bookmarkStart w:name="z99" w:id="93"/>
    <w:p>
      <w:pPr>
        <w:spacing w:after="0"/>
        <w:ind w:left="0"/>
        <w:jc w:val="both"/>
      </w:pPr>
      <w:r>
        <w:rPr>
          <w:rFonts w:ascii="Times New Roman"/>
          <w:b w:val="false"/>
          <w:i w:val="false"/>
          <w:color w:val="000000"/>
          <w:sz w:val="28"/>
        </w:rPr>
        <w:t xml:space="preserve">
      В рамках этой процедуры проводится математическая (статистическая) оценка качества модели прогнозирования. Для этого несколько задействованных моделей сравниваются по показателям суммы квадратов отклонения расчетных прогнозных значений, полученных на основании модели, от фактических значений. Для применения выбирается модель с наименьшим отклонением от фактических значений. </w:t>
      </w:r>
    </w:p>
    <w:bookmarkEnd w:id="93"/>
    <w:bookmarkStart w:name="z100" w:id="94"/>
    <w:p>
      <w:pPr>
        <w:spacing w:after="0"/>
        <w:ind w:left="0"/>
        <w:jc w:val="both"/>
      </w:pPr>
      <w:r>
        <w:rPr>
          <w:rFonts w:ascii="Times New Roman"/>
          <w:b w:val="false"/>
          <w:i w:val="false"/>
          <w:color w:val="000000"/>
          <w:sz w:val="28"/>
        </w:rPr>
        <w:t>
      Прогнозирование осуществляется по основным аппроксимирующим функциям экстраполяции:</w:t>
      </w:r>
    </w:p>
    <w:bookmarkEnd w:id="94"/>
    <w:bookmarkStart w:name="z101" w:id="95"/>
    <w:p>
      <w:pPr>
        <w:spacing w:after="0"/>
        <w:ind w:left="0"/>
        <w:jc w:val="both"/>
      </w:pPr>
      <w:r>
        <w:rPr>
          <w:rFonts w:ascii="Times New Roman"/>
          <w:b w:val="false"/>
          <w:i w:val="false"/>
          <w:color w:val="000000"/>
          <w:sz w:val="28"/>
        </w:rPr>
        <w:t>
      линейной;</w:t>
      </w:r>
    </w:p>
    <w:bookmarkEnd w:id="95"/>
    <w:bookmarkStart w:name="z102" w:id="96"/>
    <w:p>
      <w:pPr>
        <w:spacing w:after="0"/>
        <w:ind w:left="0"/>
        <w:jc w:val="both"/>
      </w:pPr>
      <w:r>
        <w:rPr>
          <w:rFonts w:ascii="Times New Roman"/>
          <w:b w:val="false"/>
          <w:i w:val="false"/>
          <w:color w:val="000000"/>
          <w:sz w:val="28"/>
        </w:rPr>
        <w:t>
      логарифмической;</w:t>
      </w:r>
    </w:p>
    <w:bookmarkEnd w:id="96"/>
    <w:bookmarkStart w:name="z103" w:id="97"/>
    <w:p>
      <w:pPr>
        <w:spacing w:after="0"/>
        <w:ind w:left="0"/>
        <w:jc w:val="both"/>
      </w:pPr>
      <w:r>
        <w:rPr>
          <w:rFonts w:ascii="Times New Roman"/>
          <w:b w:val="false"/>
          <w:i w:val="false"/>
          <w:color w:val="000000"/>
          <w:sz w:val="28"/>
        </w:rPr>
        <w:t>
      экспоненциальной;</w:t>
      </w:r>
    </w:p>
    <w:bookmarkEnd w:id="97"/>
    <w:bookmarkStart w:name="z104" w:id="98"/>
    <w:p>
      <w:pPr>
        <w:spacing w:after="0"/>
        <w:ind w:left="0"/>
        <w:jc w:val="both"/>
      </w:pPr>
      <w:r>
        <w:rPr>
          <w:rFonts w:ascii="Times New Roman"/>
          <w:b w:val="false"/>
          <w:i w:val="false"/>
          <w:color w:val="000000"/>
          <w:sz w:val="28"/>
        </w:rPr>
        <w:t>
      степенной.</w:t>
      </w:r>
    </w:p>
    <w:bookmarkEnd w:id="98"/>
    <w:bookmarkStart w:name="z105" w:id="99"/>
    <w:p>
      <w:pPr>
        <w:spacing w:after="0"/>
        <w:ind w:left="0"/>
        <w:jc w:val="both"/>
      </w:pPr>
      <w:r>
        <w:rPr>
          <w:rFonts w:ascii="Times New Roman"/>
          <w:b w:val="false"/>
          <w:i w:val="false"/>
          <w:color w:val="000000"/>
          <w:sz w:val="28"/>
        </w:rPr>
        <w:t>
      По каждой аппроксимирующей функции экстраполяции (по фактическим данным с различным временным интервалом) прогнозные расчеты проводятся:</w:t>
      </w:r>
    </w:p>
    <w:bookmarkEnd w:id="99"/>
    <w:bookmarkStart w:name="z106" w:id="100"/>
    <w:p>
      <w:pPr>
        <w:spacing w:after="0"/>
        <w:ind w:left="0"/>
        <w:jc w:val="both"/>
      </w:pPr>
      <w:r>
        <w:rPr>
          <w:rFonts w:ascii="Times New Roman"/>
          <w:b w:val="false"/>
          <w:i w:val="false"/>
          <w:color w:val="000000"/>
          <w:sz w:val="28"/>
        </w:rPr>
        <w:t>
      по фактическим данным;</w:t>
      </w:r>
    </w:p>
    <w:bookmarkEnd w:id="100"/>
    <w:bookmarkStart w:name="z107" w:id="101"/>
    <w:p>
      <w:pPr>
        <w:spacing w:after="0"/>
        <w:ind w:left="0"/>
        <w:jc w:val="both"/>
      </w:pPr>
      <w:r>
        <w:rPr>
          <w:rFonts w:ascii="Times New Roman"/>
          <w:b w:val="false"/>
          <w:i w:val="false"/>
          <w:color w:val="000000"/>
          <w:sz w:val="28"/>
        </w:rPr>
        <w:t>
      по экспоненциальной взвешенной средних данных;</w:t>
      </w:r>
    </w:p>
    <w:bookmarkEnd w:id="101"/>
    <w:bookmarkStart w:name="z108" w:id="102"/>
    <w:p>
      <w:pPr>
        <w:spacing w:after="0"/>
        <w:ind w:left="0"/>
        <w:jc w:val="both"/>
      </w:pPr>
      <w:r>
        <w:rPr>
          <w:rFonts w:ascii="Times New Roman"/>
          <w:b w:val="false"/>
          <w:i w:val="false"/>
          <w:color w:val="000000"/>
          <w:sz w:val="28"/>
        </w:rPr>
        <w:t>
      по скользящей средней данных за 3 года;</w:t>
      </w:r>
    </w:p>
    <w:bookmarkEnd w:id="102"/>
    <w:bookmarkStart w:name="z109" w:id="103"/>
    <w:p>
      <w:pPr>
        <w:spacing w:after="0"/>
        <w:ind w:left="0"/>
        <w:jc w:val="both"/>
      </w:pPr>
      <w:r>
        <w:rPr>
          <w:rFonts w:ascii="Times New Roman"/>
          <w:b w:val="false"/>
          <w:i w:val="false"/>
          <w:color w:val="000000"/>
          <w:sz w:val="28"/>
        </w:rPr>
        <w:t>
      по скользящей средней данных за 5 лет.</w:t>
      </w:r>
    </w:p>
    <w:bookmarkEnd w:id="103"/>
    <w:bookmarkStart w:name="z110" w:id="104"/>
    <w:p>
      <w:pPr>
        <w:spacing w:after="0"/>
        <w:ind w:left="0"/>
        <w:jc w:val="left"/>
      </w:pPr>
      <w:r>
        <w:rPr>
          <w:rFonts w:ascii="Times New Roman"/>
          <w:b/>
          <w:i w:val="false"/>
          <w:color w:val="000000"/>
        </w:rPr>
        <w:t xml:space="preserve"> 3. Этап экспертной корректировки расчетных параметров прогнозирования</w:t>
      </w:r>
    </w:p>
    <w:bookmarkEnd w:id="104"/>
    <w:bookmarkStart w:name="z111" w:id="105"/>
    <w:p>
      <w:pPr>
        <w:spacing w:after="0"/>
        <w:ind w:left="0"/>
        <w:jc w:val="both"/>
      </w:pPr>
      <w:r>
        <w:rPr>
          <w:rFonts w:ascii="Times New Roman"/>
          <w:b w:val="false"/>
          <w:i w:val="false"/>
          <w:color w:val="000000"/>
          <w:sz w:val="28"/>
        </w:rPr>
        <w:t>
      В процессе выполнения данного этапа расчетные параметры развития производства подлежат корректировке на основании экспертной оценки с учетом факторов, действие которых в исходном (базовом) периоде не было выраженным или имеет средне- и долгосрочный характер. Целесообразно применять метод консенсус-прогноза, предполагающий вычисление средних прогнозных значений на основе оценок нескольких экспертов. Экспертная корректировка расчетных параметров прогнозирования проводится в государствах-членах и представляется в Департамент агропромышленной политики Евразийской экономической комиссии для формирования сводного прогноза производства.</w:t>
      </w:r>
    </w:p>
    <w:bookmarkEnd w:id="105"/>
    <w:bookmarkStart w:name="z112" w:id="106"/>
    <w:p>
      <w:pPr>
        <w:spacing w:after="0"/>
        <w:ind w:left="0"/>
        <w:jc w:val="both"/>
      </w:pPr>
      <w:r>
        <w:rPr>
          <w:rFonts w:ascii="Times New Roman"/>
          <w:b w:val="false"/>
          <w:i w:val="false"/>
          <w:color w:val="000000"/>
          <w:sz w:val="28"/>
        </w:rPr>
        <w:t>
      В качестве основы при проведении экспертной оценки расчетных параметров прогнозирования следует использовать показатели государственных программ развития сельского хозяйства государств-членов, прогнозы социально-экономического развития государств-членов и прогнозы развития мирового агропродовольственного рынка. В частности, в растениеводстве к таким показателям и прогнозам относятся планируемый севооборот сельскохозяйственных культур, предполагаемая трансформация земельных угодий, степень внедрения интенсивных технологий выращивания сельскохозяйственных культур, планируемый уровень внесения удобрений, крупные инвестиционные проекты по развитию производства в прогнозном периоде, конъюнктура национальных и мирового рынков.</w:t>
      </w:r>
    </w:p>
    <w:bookmarkEnd w:id="106"/>
    <w:bookmarkStart w:name="z113" w:id="107"/>
    <w:p>
      <w:pPr>
        <w:spacing w:after="0"/>
        <w:ind w:left="0"/>
        <w:jc w:val="both"/>
      </w:pPr>
      <w:r>
        <w:rPr>
          <w:rFonts w:ascii="Times New Roman"/>
          <w:b w:val="false"/>
          <w:i w:val="false"/>
          <w:color w:val="000000"/>
          <w:sz w:val="28"/>
        </w:rPr>
        <w:t xml:space="preserve">
      Экспертная оценка влияния основных факторов, которые следует принимать во внимание при определении тенденций развития агропромышленного производства и которые имеют значение для всех государств-членов, осуществляется в соответствии с перечнем согласно приложению № 2. </w:t>
      </w:r>
    </w:p>
    <w:bookmarkEnd w:id="107"/>
    <w:bookmarkStart w:name="z114" w:id="108"/>
    <w:p>
      <w:pPr>
        <w:spacing w:after="0"/>
        <w:ind w:left="0"/>
        <w:jc w:val="both"/>
      </w:pPr>
      <w:r>
        <w:rPr>
          <w:rFonts w:ascii="Times New Roman"/>
          <w:b w:val="false"/>
          <w:i w:val="false"/>
          <w:color w:val="000000"/>
          <w:sz w:val="28"/>
        </w:rPr>
        <w:t>
      Для оценки параметров агропромышленного производства следует суммировать выставленные баллы по всем факторам (учитывая знак при соответствующей оценке) и разделить их на количество учтенных факторов. Рассчитанная величина используется в качестве процента корректировки значения, полученного в результате экстраполяции динамических рядов.</w:t>
      </w:r>
    </w:p>
    <w:bookmarkEnd w:id="108"/>
    <w:bookmarkStart w:name="z115" w:id="109"/>
    <w:p>
      <w:pPr>
        <w:spacing w:after="0"/>
        <w:ind w:left="0"/>
        <w:jc w:val="left"/>
      </w:pPr>
      <w:r>
        <w:rPr>
          <w:rFonts w:ascii="Times New Roman"/>
          <w:b/>
          <w:i w:val="false"/>
          <w:color w:val="000000"/>
        </w:rPr>
        <w:t xml:space="preserve"> 4. Уточнение прогноза развития агропромышленных комплексов государств-членов на этапе реализации </w:t>
      </w:r>
    </w:p>
    <w:bookmarkEnd w:id="109"/>
    <w:bookmarkStart w:name="z116" w:id="110"/>
    <w:p>
      <w:pPr>
        <w:spacing w:after="0"/>
        <w:ind w:left="0"/>
        <w:jc w:val="both"/>
      </w:pPr>
      <w:r>
        <w:rPr>
          <w:rFonts w:ascii="Times New Roman"/>
          <w:b w:val="false"/>
          <w:i w:val="false"/>
          <w:color w:val="000000"/>
          <w:sz w:val="28"/>
        </w:rPr>
        <w:t xml:space="preserve">
      На данном этапе проводится оценка выполнения прогнозных показателей на основе фактических данных, полученных за первый отчетный год, и уточнение прогноза развития агропромышленных комплексов государств-членов с соответствующим замещением исходных данных для прогнозирования (с ежегодным сдвигом исходного (базового) и прогнозного горизонтов на 1 год). Например, в качестве исходных данных могут использоваться данные за 9 базовых лет и 1 год прогнозного периода. </w:t>
      </w:r>
    </w:p>
    <w:bookmarkEnd w:id="110"/>
    <w:bookmarkStart w:name="z117" w:id="111"/>
    <w:p>
      <w:pPr>
        <w:spacing w:after="0"/>
        <w:ind w:left="0"/>
        <w:jc w:val="both"/>
      </w:pPr>
      <w:r>
        <w:rPr>
          <w:rFonts w:ascii="Times New Roman"/>
          <w:b w:val="false"/>
          <w:i w:val="false"/>
          <w:color w:val="000000"/>
          <w:sz w:val="28"/>
        </w:rPr>
        <w:t>
      Последующая экстраполяция исходных данных и экспертная оценка расчетных параметров прогнозирования осуществляются в соответствии с настоящей Методологией.</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Методологии</w:t>
            </w:r>
            <w:r>
              <w:br/>
            </w:r>
            <w:r>
              <w:rPr>
                <w:rFonts w:ascii="Times New Roman"/>
                <w:b w:val="false"/>
                <w:i w:val="false"/>
                <w:color w:val="000000"/>
                <w:sz w:val="20"/>
              </w:rPr>
              <w:t xml:space="preserve">прогнозирования развития </w:t>
            </w:r>
            <w:r>
              <w:br/>
            </w:r>
            <w:r>
              <w:rPr>
                <w:rFonts w:ascii="Times New Roman"/>
                <w:b w:val="false"/>
                <w:i w:val="false"/>
                <w:color w:val="000000"/>
                <w:sz w:val="20"/>
              </w:rPr>
              <w:t xml:space="preserve">агропромышленных комплексов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119" w:id="11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показателей и продукции агропромышленных комплексов государств – членов Евразийского экономического союза, по которым формируется прогноз</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3"/>
        <w:gridCol w:w="2347"/>
      </w:tblGrid>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продукции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измерения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занятых в сельском хозяйстве (в среднем </w:t>
            </w:r>
            <w:r>
              <w:br/>
            </w:r>
            <w:r>
              <w:rPr>
                <w:rFonts w:ascii="Times New Roman"/>
                <w:b w:val="false"/>
                <w:i w:val="false"/>
                <w:color w:val="000000"/>
                <w:sz w:val="20"/>
              </w:rPr>
              <w:t>за год)</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продукции сельского хозяйства </w:t>
            </w:r>
            <w:r>
              <w:br/>
            </w:r>
            <w:r>
              <w:rPr>
                <w:rFonts w:ascii="Times New Roman"/>
                <w:b w:val="false"/>
                <w:i w:val="false"/>
                <w:color w:val="000000"/>
                <w:sz w:val="20"/>
              </w:rPr>
              <w:t>в хозяйствах всех категорий (в текущих ценах)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млн долларов США</w:t>
            </w:r>
            <w:r>
              <w:br/>
            </w:r>
            <w:r>
              <w:rPr>
                <w:rFonts w:ascii="Times New Roman"/>
                <w:b w:val="false"/>
                <w:i w:val="false"/>
                <w:color w:val="000000"/>
                <w:sz w:val="20"/>
              </w:rPr>
              <w:t>
 </w:t>
            </w:r>
          </w:p>
          <w:bookmarkEnd w:id="113"/>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производство на одного занятого в сельском хозяйстве (производительность труда)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сельскохозяйственных товаров (группы 01 – 24 ТН ВЭД ЕАЭС)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сельскохозяйственных товаров (группы 01 – 24 ТН ВЭД ЕАЭС)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самообеспеченности по основным видам продукции агропромышленного комплекса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продукция сельского хозяйства</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культуры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Овощебахчевые культуры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ягоды, включая виноград</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всех видов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 и птица на убой (в убойном весе),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штук</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Льноволокно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Хлопковолокно (хлопковолокно, подвергнутое кардо- и гребнечесанию, отходы хлопковолокна)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(шерсть и тонкий или грубый волос животных, подвергнутые кардо- или гребнечесанию, отходы и расщипанное сырье из шерсти или тонкого либо грубого волоса животных)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Кожевенное сырье (необработанные шкуры и дубленая кожа из шкур крупного рогатого скота, свиней, овец и ягнят)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сельскохозяйственной продукции</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 (в том числе подсолнечное, соевое, рапсовое)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мясопродукты (мясо по видам и пищевые субпродукты, колбасные изделия и др.)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молокопродукты (молоко и сливки, творог, масло сливочное, сыры, мороженое и др.)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картофеля (крахмал, чипсы, пюре быстрого приготовления, полуфабрикаты и кулинарные изделия и др.)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(овощи сушеные, консервированные, томатный сок и др.)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плодов и ягод (консервы плодово-ягодные, сушеные фрукты и ягоды, соки и др.)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(яичный порошок)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Методологии</w:t>
            </w:r>
            <w:r>
              <w:br/>
            </w:r>
            <w:r>
              <w:rPr>
                <w:rFonts w:ascii="Times New Roman"/>
                <w:b w:val="false"/>
                <w:i w:val="false"/>
                <w:color w:val="000000"/>
                <w:sz w:val="20"/>
              </w:rPr>
              <w:t xml:space="preserve">прогнозирования развития </w:t>
            </w:r>
            <w:r>
              <w:br/>
            </w:r>
            <w:r>
              <w:rPr>
                <w:rFonts w:ascii="Times New Roman"/>
                <w:b w:val="false"/>
                <w:i w:val="false"/>
                <w:color w:val="000000"/>
                <w:sz w:val="20"/>
              </w:rPr>
              <w:t xml:space="preserve">агропромышленных комплексов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w:t>
            </w:r>
          </w:p>
        </w:tc>
      </w:tr>
    </w:tbl>
    <w:bookmarkStart w:name="z125" w:id="117"/>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факторов, учитываемых при определении тенденций развития агропромышленного производства в государствах – членах Евразийского экономического союза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8"/>
        <w:gridCol w:w="378"/>
        <w:gridCol w:w="1009"/>
        <w:gridCol w:w="7385"/>
      </w:tblGrid>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влияния на расчетные параметры прогноза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влияния фактора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влияния фактора*</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Спрос на сельскохозяйственную продукцию и продовольствие на внутреннем рынке государств – членов Евразийского экономического союза (далее соответственно – государства-члены, Союз)</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учитывается динамика спроса на сельскохозяйственную продукцию и продовольствие как на производственном рынке, так и на потребительском рынке, выделяются товарные группы, подверженные высоким конъюнктурным колебаниям (продукция органического земледелия, сахар, детское питание и т. д.) определяется тенденция спроса по:</w:t>
            </w:r>
            <w:r>
              <w:br/>
            </w:r>
            <w:r>
              <w:rPr>
                <w:rFonts w:ascii="Times New Roman"/>
                <w:b w:val="false"/>
                <w:i w:val="false"/>
                <w:color w:val="000000"/>
                <w:sz w:val="20"/>
              </w:rPr>
              <w:t>
</w:t>
            </w:r>
            <w:r>
              <w:rPr>
                <w:rFonts w:ascii="Times New Roman"/>
                <w:b w:val="false"/>
                <w:i w:val="false"/>
                <w:color w:val="000000"/>
                <w:sz w:val="20"/>
              </w:rPr>
              <w:t>доходам населения государств-членов;</w:t>
            </w:r>
            <w:r>
              <w:br/>
            </w:r>
            <w:r>
              <w:rPr>
                <w:rFonts w:ascii="Times New Roman"/>
                <w:b w:val="false"/>
                <w:i w:val="false"/>
                <w:color w:val="000000"/>
                <w:sz w:val="20"/>
              </w:rPr>
              <w:t>
изменению численности и доли населения государств-членов</w:t>
            </w:r>
          </w:p>
          <w:bookmarkEnd w:id="118"/>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Спрос на сельскохозяйственную продукцию и продовольствие на рынках третьих стран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учитываются возможности наращивания объемов сбыта сельскохозяйственной продукции и продовольствия на рынки третьих стран (с дифференциацией по товарным группам и в страновом разрезе) тенденции спроса на продовольственные товары предопределяются:</w:t>
            </w:r>
            <w:r>
              <w:br/>
            </w:r>
            <w:r>
              <w:rPr>
                <w:rFonts w:ascii="Times New Roman"/>
                <w:b w:val="false"/>
                <w:i w:val="false"/>
                <w:color w:val="000000"/>
                <w:sz w:val="20"/>
              </w:rPr>
              <w:t>
</w:t>
            </w:r>
            <w:r>
              <w:rPr>
                <w:rFonts w:ascii="Times New Roman"/>
                <w:b w:val="false"/>
                <w:i w:val="false"/>
                <w:color w:val="000000"/>
                <w:sz w:val="20"/>
              </w:rPr>
              <w:t>общим ростом населения в мире;</w:t>
            </w:r>
            <w:r>
              <w:br/>
            </w:r>
            <w:r>
              <w:rPr>
                <w:rFonts w:ascii="Times New Roman"/>
                <w:b w:val="false"/>
                <w:i w:val="false"/>
                <w:color w:val="000000"/>
                <w:sz w:val="20"/>
              </w:rPr>
              <w:t>
</w:t>
            </w:r>
            <w:r>
              <w:rPr>
                <w:rFonts w:ascii="Times New Roman"/>
                <w:b w:val="false"/>
                <w:i w:val="false"/>
                <w:color w:val="000000"/>
                <w:sz w:val="20"/>
              </w:rPr>
              <w:t xml:space="preserve">обострением торговых отношений ("торговые санкции, эмбарго"), которое приводит к введению экономических ограничений и усилению таможенно-тарифной защиты сельскохозяйственных товаров; </w:t>
            </w:r>
            <w:r>
              <w:br/>
            </w:r>
            <w:r>
              <w:rPr>
                <w:rFonts w:ascii="Times New Roman"/>
                <w:b w:val="false"/>
                <w:i w:val="false"/>
                <w:color w:val="000000"/>
                <w:sz w:val="20"/>
              </w:rPr>
              <w:t>
</w:t>
            </w:r>
            <w:r>
              <w:rPr>
                <w:rFonts w:ascii="Times New Roman"/>
                <w:b w:val="false"/>
                <w:i w:val="false"/>
                <w:color w:val="000000"/>
                <w:sz w:val="20"/>
              </w:rPr>
              <w:t xml:space="preserve">повышением узнаваемости в-третьих странах товарных брендов Союза по мере роста экспортных поставок продовольственных товаров </w:t>
            </w:r>
            <w:r>
              <w:br/>
            </w:r>
            <w:r>
              <w:rPr>
                <w:rFonts w:ascii="Times New Roman"/>
                <w:b w:val="false"/>
                <w:i w:val="false"/>
                <w:color w:val="000000"/>
                <w:sz w:val="20"/>
              </w:rPr>
              <w:t>
 </w:t>
            </w:r>
          </w:p>
          <w:bookmarkEnd w:id="119"/>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Снижение таможенно-тарифной защиты агропродовольственного рынка государств-членов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xml:space="preserve">
учитывается снижение ставок единого таможенного тарифа на импорт товаров </w:t>
            </w:r>
            <w:r>
              <w:br/>
            </w:r>
            <w:r>
              <w:rPr>
                <w:rFonts w:ascii="Times New Roman"/>
                <w:b w:val="false"/>
                <w:i w:val="false"/>
                <w:color w:val="000000"/>
                <w:sz w:val="20"/>
              </w:rPr>
              <w:t>в государства-члены из третьих стран</w:t>
            </w:r>
            <w:r>
              <w:br/>
            </w:r>
            <w:r>
              <w:rPr>
                <w:rFonts w:ascii="Times New Roman"/>
                <w:b w:val="false"/>
                <w:i w:val="false"/>
                <w:color w:val="000000"/>
                <w:sz w:val="20"/>
              </w:rPr>
              <w:t>
</w:t>
            </w:r>
            <w:r>
              <w:rPr>
                <w:rFonts w:ascii="Times New Roman"/>
                <w:b w:val="false"/>
                <w:i w:val="false"/>
                <w:color w:val="000000"/>
                <w:sz w:val="20"/>
              </w:rPr>
              <w:t xml:space="preserve">снижение ставки единого таможенного тарифа может усилить привлекательность импорта из третьих стран ряда сельскохозяйственных товаров на рынок государств-членов </w:t>
            </w:r>
            <w:r>
              <w:br/>
            </w:r>
            <w:r>
              <w:rPr>
                <w:rFonts w:ascii="Times New Roman"/>
                <w:b w:val="false"/>
                <w:i w:val="false"/>
                <w:color w:val="000000"/>
                <w:sz w:val="20"/>
              </w:rPr>
              <w:t>
</w:t>
            </w:r>
            <w:r>
              <w:rPr>
                <w:rFonts w:ascii="Times New Roman"/>
                <w:b w:val="false"/>
                <w:i w:val="false"/>
                <w:color w:val="000000"/>
                <w:sz w:val="20"/>
              </w:rPr>
              <w:t>вероятность возникновения негативных последствий для производства товаров массового спроса незначительна, но некоторые сегменты агропродовольственного рынка государств-членов могут оказаться в уязвимом положении</w:t>
            </w:r>
            <w:r>
              <w:br/>
            </w:r>
            <w:r>
              <w:rPr>
                <w:rFonts w:ascii="Times New Roman"/>
                <w:b w:val="false"/>
                <w:i w:val="false"/>
                <w:color w:val="000000"/>
                <w:sz w:val="20"/>
              </w:rPr>
              <w:t>
 </w:t>
            </w:r>
          </w:p>
          <w:bookmarkEnd w:id="120"/>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Государственная поддержка сельского хозяйства государств-членов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xml:space="preserve">
учитывается рост или снижение государственной поддержки сельского хозяйства в государствах-членах, соблюдение обязательств государств-членов </w:t>
            </w:r>
            <w:r>
              <w:br/>
            </w:r>
            <w:r>
              <w:rPr>
                <w:rFonts w:ascii="Times New Roman"/>
                <w:b w:val="false"/>
                <w:i w:val="false"/>
                <w:color w:val="000000"/>
                <w:sz w:val="20"/>
              </w:rPr>
              <w:t>в ВТО в отношении допустимого уровня государственной поддержки сельскохозяйственных товаров</w:t>
            </w:r>
            <w:r>
              <w:br/>
            </w:r>
            <w:r>
              <w:rPr>
                <w:rFonts w:ascii="Times New Roman"/>
                <w:b w:val="false"/>
                <w:i w:val="false"/>
                <w:color w:val="000000"/>
                <w:sz w:val="20"/>
              </w:rPr>
              <w:t>
</w:t>
            </w:r>
            <w:r>
              <w:rPr>
                <w:rFonts w:ascii="Times New Roman"/>
                <w:b w:val="false"/>
                <w:i w:val="false"/>
                <w:color w:val="000000"/>
                <w:sz w:val="20"/>
              </w:rPr>
              <w:t>приоритет должен отдаваться мерам, не оказывающим влияния на торговлю государств – членов ВТО сельскохозяйственными товарами</w:t>
            </w:r>
            <w:r>
              <w:br/>
            </w:r>
            <w:r>
              <w:rPr>
                <w:rFonts w:ascii="Times New Roman"/>
                <w:b w:val="false"/>
                <w:i w:val="false"/>
                <w:color w:val="000000"/>
                <w:sz w:val="20"/>
              </w:rPr>
              <w:t>
</w:t>
            </w:r>
            <w:r>
              <w:rPr>
                <w:rFonts w:ascii="Times New Roman"/>
                <w:b w:val="false"/>
                <w:i w:val="false"/>
                <w:color w:val="000000"/>
                <w:sz w:val="20"/>
              </w:rPr>
              <w:t xml:space="preserve">в настоящее время в государствах-членах первостепенную роль </w:t>
            </w:r>
            <w:r>
              <w:br/>
            </w:r>
            <w:r>
              <w:rPr>
                <w:rFonts w:ascii="Times New Roman"/>
                <w:b w:val="false"/>
                <w:i w:val="false"/>
                <w:color w:val="000000"/>
                <w:sz w:val="20"/>
              </w:rPr>
              <w:t>(при государственной поддержке агропромышленного комплекса) играют меры, стимулирующие производство сельскохозяйственных товаров</w:t>
            </w:r>
            <w:r>
              <w:br/>
            </w:r>
            <w:r>
              <w:rPr>
                <w:rFonts w:ascii="Times New Roman"/>
                <w:b w:val="false"/>
                <w:i w:val="false"/>
                <w:color w:val="000000"/>
                <w:sz w:val="20"/>
              </w:rPr>
              <w:t>
 </w:t>
            </w:r>
          </w:p>
          <w:bookmarkEnd w:id="121"/>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Научно-технический прогресс и рост производительности труда </w:t>
            </w:r>
            <w:r>
              <w:br/>
            </w:r>
            <w:r>
              <w:rPr>
                <w:rFonts w:ascii="Times New Roman"/>
                <w:b w:val="false"/>
                <w:i w:val="false"/>
                <w:color w:val="000000"/>
                <w:sz w:val="20"/>
              </w:rPr>
              <w:t>в агропромышленном комплексе государств-членов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2"/>
          <w:p>
            <w:pPr>
              <w:spacing w:after="20"/>
              <w:ind w:left="20"/>
              <w:jc w:val="both"/>
            </w:pPr>
            <w:r>
              <w:rPr>
                <w:rFonts w:ascii="Times New Roman"/>
                <w:b w:val="false"/>
                <w:i w:val="false"/>
                <w:color w:val="000000"/>
                <w:sz w:val="20"/>
              </w:rPr>
              <w:t xml:space="preserve">
учитывается динамика внедрения в агропромышленный комплекс государств-членов достижений научно-технического прогресса, обусловливающая повышение производительности труда </w:t>
            </w:r>
            <w:r>
              <w:br/>
            </w:r>
            <w:r>
              <w:rPr>
                <w:rFonts w:ascii="Times New Roman"/>
                <w:b w:val="false"/>
                <w:i w:val="false"/>
                <w:color w:val="000000"/>
                <w:sz w:val="20"/>
              </w:rPr>
              <w:t>
</w:t>
            </w:r>
            <w:r>
              <w:rPr>
                <w:rFonts w:ascii="Times New Roman"/>
                <w:b w:val="false"/>
                <w:i w:val="false"/>
                <w:color w:val="000000"/>
                <w:sz w:val="20"/>
              </w:rPr>
              <w:t>критически важным для развития сельскохозяйственного производства может стать отказ отдельных государств-членов от горизонтального запрета использования ГМО</w:t>
            </w:r>
            <w:r>
              <w:br/>
            </w:r>
            <w:r>
              <w:rPr>
                <w:rFonts w:ascii="Times New Roman"/>
                <w:b w:val="false"/>
                <w:i w:val="false"/>
                <w:color w:val="000000"/>
                <w:sz w:val="20"/>
              </w:rPr>
              <w:t>
 </w:t>
            </w:r>
          </w:p>
          <w:bookmarkEnd w:id="122"/>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Реализация </w:t>
            </w:r>
            <w:r>
              <w:br/>
            </w:r>
            <w:r>
              <w:rPr>
                <w:rFonts w:ascii="Times New Roman"/>
                <w:b w:val="false"/>
                <w:i w:val="false"/>
                <w:color w:val="000000"/>
                <w:sz w:val="20"/>
              </w:rPr>
              <w:t>в государствах-членах мер по вовлечению плодородных земель в сельскохозяйственный оборот и оптимизации землепользования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xml:space="preserve">
учитывается реализация в государствах-членах государственных мер по обеспечению рационального использования земель в сельскохозяйственном производстве и воспроизводства их плодородия </w:t>
            </w:r>
            <w:r>
              <w:br/>
            </w:r>
            <w:r>
              <w:rPr>
                <w:rFonts w:ascii="Times New Roman"/>
                <w:b w:val="false"/>
                <w:i w:val="false"/>
                <w:color w:val="000000"/>
                <w:sz w:val="20"/>
              </w:rPr>
              <w:t>
</w:t>
            </w:r>
            <w:r>
              <w:rPr>
                <w:rFonts w:ascii="Times New Roman"/>
                <w:b w:val="false"/>
                <w:i w:val="false"/>
                <w:color w:val="000000"/>
                <w:sz w:val="20"/>
              </w:rPr>
              <w:t xml:space="preserve">эффект от вовлечения в сельскохозяйственный оборот дополнительных площадей плодородных земель будет существенно выше при использовании удобрений </w:t>
            </w:r>
            <w:r>
              <w:br/>
            </w:r>
            <w:r>
              <w:rPr>
                <w:rFonts w:ascii="Times New Roman"/>
                <w:b w:val="false"/>
                <w:i w:val="false"/>
                <w:color w:val="000000"/>
                <w:sz w:val="20"/>
              </w:rPr>
              <w:t xml:space="preserve">и средств защиты растений </w:t>
            </w:r>
            <w:r>
              <w:br/>
            </w:r>
            <w:r>
              <w:rPr>
                <w:rFonts w:ascii="Times New Roman"/>
                <w:b w:val="false"/>
                <w:i w:val="false"/>
                <w:color w:val="000000"/>
                <w:sz w:val="20"/>
              </w:rPr>
              <w:t>
</w:t>
            </w:r>
            <w:r>
              <w:rPr>
                <w:rFonts w:ascii="Times New Roman"/>
                <w:b w:val="false"/>
                <w:i w:val="false"/>
                <w:color w:val="000000"/>
                <w:sz w:val="20"/>
              </w:rPr>
              <w:t>важно учитывать темпы реализации государственных и хозяйственных мероприятий по реновации, в том числе по мелиорации земель</w:t>
            </w:r>
            <w:r>
              <w:br/>
            </w:r>
            <w:r>
              <w:rPr>
                <w:rFonts w:ascii="Times New Roman"/>
                <w:b w:val="false"/>
                <w:i w:val="false"/>
                <w:color w:val="000000"/>
                <w:sz w:val="20"/>
              </w:rPr>
              <w:t>
 </w:t>
            </w:r>
          </w:p>
          <w:bookmarkEnd w:id="123"/>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Реализация </w:t>
            </w:r>
            <w:r>
              <w:br/>
            </w:r>
            <w:r>
              <w:rPr>
                <w:rFonts w:ascii="Times New Roman"/>
                <w:b w:val="false"/>
                <w:i w:val="false"/>
                <w:color w:val="000000"/>
                <w:sz w:val="20"/>
              </w:rPr>
              <w:t>в государствах-членах мер по стимулированию использования производственных ресурсов в сельском хозяйстве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xml:space="preserve">
учитывается принятие государствами-членами мер по обеспечению доступности </w:t>
            </w:r>
            <w:r>
              <w:br/>
            </w:r>
            <w:r>
              <w:rPr>
                <w:rFonts w:ascii="Times New Roman"/>
                <w:b w:val="false"/>
                <w:i w:val="false"/>
                <w:color w:val="000000"/>
                <w:sz w:val="20"/>
              </w:rPr>
              <w:t xml:space="preserve">и экономической заинтересованности агропромышленных предприятий </w:t>
            </w:r>
            <w:r>
              <w:br/>
            </w:r>
            <w:r>
              <w:rPr>
                <w:rFonts w:ascii="Times New Roman"/>
                <w:b w:val="false"/>
                <w:i w:val="false"/>
                <w:color w:val="000000"/>
                <w:sz w:val="20"/>
              </w:rPr>
              <w:t>в использовании важнейших материальных ресурсов в сельском хозяйстве (удобрений, средств механизации и др.)</w:t>
            </w:r>
            <w:r>
              <w:br/>
            </w:r>
            <w:r>
              <w:rPr>
                <w:rFonts w:ascii="Times New Roman"/>
                <w:b w:val="false"/>
                <w:i w:val="false"/>
                <w:color w:val="000000"/>
                <w:sz w:val="20"/>
              </w:rPr>
              <w:t>
</w:t>
            </w:r>
            <w:r>
              <w:rPr>
                <w:rFonts w:ascii="Times New Roman"/>
                <w:b w:val="false"/>
                <w:i w:val="false"/>
                <w:color w:val="000000"/>
                <w:sz w:val="20"/>
              </w:rPr>
              <w:t>меры, направленные на стимулирование использования указанных ресурсов, могут быть следующими:</w:t>
            </w:r>
            <w:r>
              <w:br/>
            </w:r>
            <w:r>
              <w:rPr>
                <w:rFonts w:ascii="Times New Roman"/>
                <w:b w:val="false"/>
                <w:i w:val="false"/>
                <w:color w:val="000000"/>
                <w:sz w:val="20"/>
              </w:rPr>
              <w:t>
</w:t>
            </w:r>
            <w:r>
              <w:rPr>
                <w:rFonts w:ascii="Times New Roman"/>
                <w:b w:val="false"/>
                <w:i w:val="false"/>
                <w:color w:val="000000"/>
                <w:sz w:val="20"/>
              </w:rPr>
              <w:t>государственная поддержка приобретения минеральных удобрений;</w:t>
            </w:r>
            <w:r>
              <w:br/>
            </w:r>
            <w:r>
              <w:rPr>
                <w:rFonts w:ascii="Times New Roman"/>
                <w:b w:val="false"/>
                <w:i w:val="false"/>
                <w:color w:val="000000"/>
                <w:sz w:val="20"/>
              </w:rPr>
              <w:t>
развитие (на условиях межгосударственной кооперации и согласованной государственной поддержки приобретения) производства недостающей техники и оборудования – кормоуборочных комбайнов, оборудования для переработки сельскохозяйственной продукции и т. д.</w:t>
            </w:r>
          </w:p>
          <w:bookmarkEnd w:id="124"/>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Меры стимулирования развития кадрового потенциала агропромышленного комплекса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учитывается общая обеспеченность кадрами, в том числе кадрами, способными</w:t>
            </w:r>
            <w:r>
              <w:br/>
            </w:r>
            <w:r>
              <w:rPr>
                <w:rFonts w:ascii="Times New Roman"/>
                <w:b w:val="false"/>
                <w:i w:val="false"/>
                <w:color w:val="000000"/>
                <w:sz w:val="20"/>
              </w:rPr>
              <w:t>к внедрению достижений научно-технического прогресса, использованию преимуществ высоких технологий (цифровых, генной инженерии и др.)</w:t>
            </w:r>
            <w:r>
              <w:br/>
            </w:r>
            <w:r>
              <w:rPr>
                <w:rFonts w:ascii="Times New Roman"/>
                <w:b w:val="false"/>
                <w:i w:val="false"/>
                <w:color w:val="000000"/>
                <w:sz w:val="20"/>
              </w:rPr>
              <w:t>
</w:t>
            </w:r>
            <w:r>
              <w:rPr>
                <w:rFonts w:ascii="Times New Roman"/>
                <w:b w:val="false"/>
                <w:i w:val="false"/>
                <w:color w:val="000000"/>
                <w:sz w:val="20"/>
              </w:rPr>
              <w:t>отмечается нехватка квалифицированных специалистов – ветеринарных врачей, инженерно-технических работников, а также представителей массовых профессий, профессиональные задачи которых все более усложняются и связаны с необходимостью использования сложной техники (роботизированной, с ЧПУ, средствами геопозиционирования), реализацией микробиологических процессов (при применении консервантов, заквасок, биологических средств защиты растений, при эксплуатации биогазовых установок) и т. д.</w:t>
            </w:r>
            <w:r>
              <w:br/>
            </w:r>
            <w:r>
              <w:rPr>
                <w:rFonts w:ascii="Times New Roman"/>
                <w:b w:val="false"/>
                <w:i w:val="false"/>
                <w:color w:val="000000"/>
                <w:sz w:val="20"/>
              </w:rPr>
              <w:t>
</w:t>
            </w:r>
            <w:r>
              <w:rPr>
                <w:rFonts w:ascii="Times New Roman"/>
                <w:b w:val="false"/>
                <w:i w:val="false"/>
                <w:color w:val="000000"/>
                <w:sz w:val="20"/>
              </w:rPr>
              <w:t>разрыв между оплатой труда городского населения и жителей села может замедлить и остановить процесс депопуляции сельского населения</w:t>
            </w:r>
            <w:r>
              <w:br/>
            </w:r>
            <w:r>
              <w:rPr>
                <w:rFonts w:ascii="Times New Roman"/>
                <w:b w:val="false"/>
                <w:i w:val="false"/>
                <w:color w:val="000000"/>
                <w:sz w:val="20"/>
              </w:rPr>
              <w:t>
</w:t>
            </w:r>
            <w:r>
              <w:rPr>
                <w:rFonts w:ascii="Times New Roman"/>
                <w:b w:val="false"/>
                <w:i w:val="false"/>
                <w:color w:val="000000"/>
                <w:sz w:val="20"/>
              </w:rPr>
              <w:t>от решения проблем подготовки кадров зависит реализация большинства поставленных задач сельскохозяйственного производства</w:t>
            </w:r>
            <w:r>
              <w:br/>
            </w:r>
            <w:r>
              <w:rPr>
                <w:rFonts w:ascii="Times New Roman"/>
                <w:b w:val="false"/>
                <w:i w:val="false"/>
                <w:color w:val="000000"/>
                <w:sz w:val="20"/>
              </w:rPr>
              <w:t>
 </w:t>
            </w:r>
          </w:p>
          <w:bookmarkEnd w:id="125"/>
        </w:tc>
      </w:tr>
      <w:tr>
        <w:trPr>
          <w:trHeight w:val="30" w:hRule="atLeast"/>
        </w:trPr>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Внедрение нетрадиционных модных технологий и экологических ограничений</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учитываются темпы внедрения технологий органического и ресурсосберегающего земледелия, что на первом этапе их реализации приводит к падению объемов производства</w:t>
            </w:r>
            <w:r>
              <w:br/>
            </w:r>
            <w:r>
              <w:rPr>
                <w:rFonts w:ascii="Times New Roman"/>
                <w:b w:val="false"/>
                <w:i w:val="false"/>
                <w:color w:val="000000"/>
                <w:sz w:val="20"/>
              </w:rPr>
              <w:t>
</w:t>
            </w:r>
            <w:r>
              <w:rPr>
                <w:rFonts w:ascii="Times New Roman"/>
                <w:b w:val="false"/>
                <w:i w:val="false"/>
                <w:color w:val="000000"/>
                <w:sz w:val="20"/>
              </w:rPr>
              <w:t xml:space="preserve">внедрение почвозащитного земледелия не так однозначно, широкое использование безотвальной обработки допустимо на почвах, способных к естественному разуплотнению, – это почвы, имеющие в своем составе свыше 3,5 % гумуса </w:t>
            </w:r>
            <w:r>
              <w:br/>
            </w:r>
            <w:r>
              <w:rPr>
                <w:rFonts w:ascii="Times New Roman"/>
                <w:b w:val="false"/>
                <w:i w:val="false"/>
                <w:color w:val="000000"/>
                <w:sz w:val="20"/>
              </w:rPr>
              <w:t>и не более 40 % физической глины</w:t>
            </w:r>
            <w:r>
              <w:br/>
            </w:r>
            <w:r>
              <w:rPr>
                <w:rFonts w:ascii="Times New Roman"/>
                <w:b w:val="false"/>
                <w:i w:val="false"/>
                <w:color w:val="000000"/>
                <w:sz w:val="20"/>
              </w:rPr>
              <w:t>
</w:t>
            </w:r>
            <w:r>
              <w:rPr>
                <w:rFonts w:ascii="Times New Roman"/>
                <w:b w:val="false"/>
                <w:i w:val="false"/>
                <w:color w:val="000000"/>
                <w:sz w:val="20"/>
              </w:rPr>
              <w:t xml:space="preserve">переход на принципы органического земледелия может привести к сокращению урожая в 1,3 – 2 раза, что в условиях массового производства может стать причиной падения доходов отдельных товаропроизводителей и отрасли в целом </w:t>
            </w:r>
            <w:r>
              <w:br/>
            </w:r>
            <w:r>
              <w:rPr>
                <w:rFonts w:ascii="Times New Roman"/>
                <w:b w:val="false"/>
                <w:i w:val="false"/>
                <w:color w:val="000000"/>
                <w:sz w:val="20"/>
              </w:rPr>
              <w:t>
</w:t>
            </w:r>
            <w:r>
              <w:rPr>
                <w:rFonts w:ascii="Times New Roman"/>
                <w:b w:val="false"/>
                <w:i w:val="false"/>
                <w:color w:val="000000"/>
                <w:sz w:val="20"/>
              </w:rPr>
              <w:t>прямой посев возможен на дренированных почвах легкого и среднего гранулометрического состава, обладающих благоприятными для растений физическими свойствами, относительно устойчивых к уплотнению и характеризующихся достаточно высоким плодородием</w:t>
            </w:r>
            <w:r>
              <w:br/>
            </w:r>
            <w:r>
              <w:rPr>
                <w:rFonts w:ascii="Times New Roman"/>
                <w:b w:val="false"/>
                <w:i w:val="false"/>
                <w:color w:val="000000"/>
                <w:sz w:val="20"/>
              </w:rPr>
              <w:t>
</w:t>
            </w:r>
            <w:r>
              <w:rPr>
                <w:rFonts w:ascii="Times New Roman"/>
                <w:b w:val="false"/>
                <w:i w:val="false"/>
                <w:color w:val="000000"/>
                <w:sz w:val="20"/>
              </w:rPr>
              <w:t xml:space="preserve">среди других аспектов почвозащитного земледелия, требующих учета, следует выделить: </w:t>
            </w:r>
            <w:r>
              <w:br/>
            </w:r>
            <w:r>
              <w:rPr>
                <w:rFonts w:ascii="Times New Roman"/>
                <w:b w:val="false"/>
                <w:i w:val="false"/>
                <w:color w:val="000000"/>
                <w:sz w:val="20"/>
              </w:rPr>
              <w:t>
</w:t>
            </w:r>
            <w:r>
              <w:rPr>
                <w:rFonts w:ascii="Times New Roman"/>
                <w:b w:val="false"/>
                <w:i w:val="false"/>
                <w:color w:val="000000"/>
                <w:sz w:val="20"/>
              </w:rPr>
              <w:t>поверхностное внесение минеральных удобрений, которое снижает их доступность для растений, особенно в засушливые периоды, что приводит к недобору урожая;</w:t>
            </w:r>
            <w:r>
              <w:br/>
            </w:r>
            <w:r>
              <w:rPr>
                <w:rFonts w:ascii="Times New Roman"/>
                <w:b w:val="false"/>
                <w:i w:val="false"/>
                <w:color w:val="000000"/>
                <w:sz w:val="20"/>
              </w:rPr>
              <w:t>
</w:t>
            </w:r>
            <w:r>
              <w:rPr>
                <w:rFonts w:ascii="Times New Roman"/>
                <w:b w:val="false"/>
                <w:i w:val="false"/>
                <w:color w:val="000000"/>
                <w:sz w:val="20"/>
              </w:rPr>
              <w:t xml:space="preserve">растительные остатки, находящиеся на поверхности почвы, при нулевой </w:t>
            </w:r>
            <w:r>
              <w:br/>
            </w:r>
            <w:r>
              <w:rPr>
                <w:rFonts w:ascii="Times New Roman"/>
                <w:b w:val="false"/>
                <w:i w:val="false"/>
                <w:color w:val="000000"/>
                <w:sz w:val="20"/>
              </w:rPr>
              <w:t>и минимальной обработке, с одной стороны, благоприятно влияют на многие агрофизические показатели (например, сохранение влаги), а с другой – создают комфортные условия для возбудителей болезней и вредителей, в результате чего увеличивается объем применения пестицидов</w:t>
            </w:r>
            <w:r>
              <w:br/>
            </w:r>
            <w:r>
              <w:rPr>
                <w:rFonts w:ascii="Times New Roman"/>
                <w:b w:val="false"/>
                <w:i w:val="false"/>
                <w:color w:val="000000"/>
                <w:sz w:val="20"/>
              </w:rPr>
              <w:t>
</w:t>
            </w:r>
            <w:r>
              <w:rPr>
                <w:rFonts w:ascii="Times New Roman"/>
                <w:b w:val="false"/>
                <w:i w:val="false"/>
                <w:color w:val="000000"/>
                <w:sz w:val="20"/>
              </w:rPr>
              <w:t>минимизация агрохимической почвообработки противоречит задачам ее биологизации: вместо заявленной цели сохранения биоты может последовать обратный результат, в то время как при обороте пласта баланс анаэробных и аэробных микроорганизмов, на нарушение которого при вспашке указывают сторонники безотвальных методов обработки, восстанавливается не более чем через месяц после выполнения операции, в связи с чем зяблевая вспашка не имеет негативных последствий в указанном аспекте;</w:t>
            </w:r>
            <w:r>
              <w:br/>
            </w:r>
            <w:r>
              <w:rPr>
                <w:rFonts w:ascii="Times New Roman"/>
                <w:b w:val="false"/>
                <w:i w:val="false"/>
                <w:color w:val="000000"/>
                <w:sz w:val="20"/>
              </w:rPr>
              <w:t>
послеуборочные растительные остатки в поверхностном слое почвы при ее минимальной обработке осложняют посев и требуют применения специальной техники, которая является весьма дорогостоящей минимальная обработка почвы перспективна для снижения ее плоскостной водной и ветровой эрозий за счет сохранения стерни в зимний период и формирования поверхностного мульчирующего слоя следование модным тенденциям в земледелии может снизить темпы наращивания сельскохозяйственного производства и повышения его эффективности</w:t>
            </w:r>
          </w:p>
          <w:bookmarkEnd w:id="126"/>
        </w:tc>
      </w:tr>
    </w:tbl>
    <w:bookmarkStart w:name="z158" w:id="127"/>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xml:space="preserve">
      </w:t>
      </w:r>
      <w:r>
        <w:rPr>
          <w:rFonts w:ascii="Times New Roman"/>
          <w:b w:val="false"/>
          <w:i w:val="false"/>
          <w:color w:val="000000"/>
          <w:sz w:val="28"/>
        </w:rPr>
        <w:t xml:space="preserve">* Определяется по 5-бальной шкале.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