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1b9f" w14:textId="b251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3 декабря 2018 г.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декабря 2020 года № 170. Утратио силу решением Коллегии Евразийской экономической комиссии от 28 декабря 2021 года № 184.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декабря 2018 г. № 197 "О предоставлении Евразийской экономической комиссии официальной статистической информации уполномоченными органами государств – членов Евразийского экономического союза"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2020 г. № 170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3 декабря 2018 г. № 197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– членов Евразийского экономического союза, утвержденном указанным Решением, в позициях 213, 214 и 343 – 348 в графе "Периодичность" слово "полугодовая" заменить словом "годовая".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форматах предоставления Евразийской экономической комиссии официальной статистической информации уполномоченными органами государств – членов Евразийского экономического союза, утвержденных указанным Решением: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форматах F12.01.04 и F12.02.04 слова "Квартал (Q1, Q2, Q3, Q4)" заменить словами "Квартал (1 – 4) нарастающим итогом";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формате F12.03.01 графу 2 и сноску 1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форматах F12.04.04, F12.06.04, F12.07.04 и F12.09.04 слова "Квартал (Q1, Q2, Q3, Q4)" заменить словами "Квартал (1 – 4) нарастающим итогом";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формате F12.10.04 слова "Квартал (Q1, Q2, Q3, Q4)" заменить словами "Квартал (1 – 4) на конец отчетного периода";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форматах F12.14.04, F12.16.04, F12.17.04 и F12.18.04 слова "Квартал (Q1, Q2, Q3, Q4)" заменить словами "Квартал (1 – 4) нарастающим итогом";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 формате F13.09.04 примечание изложить в следующей редакции: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Средневзвешенная процентная ставка по кредитам – это номинальная процентная ставка в годовом исчислении, взвешенная по объему кредитов, предоставленных в отчетном периоде. Для Российской Федерации данный показатель рассчитывается на основе среднего арифметического значения по месячным данным за отчетный период.";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форматы F14.01.04 и F14.02.04 изложить в следующей редакции: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F14.01.04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(Q1, Q2, Q3, 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Биржевые торги 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торгов,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торгов, миллиардов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сделки, совершенные с иностранными финансовыми инструментами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сделки, совершенные 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Фондовый рынок,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рынок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рынок (без учета РЕПО)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долговые ценные бумаги,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рынок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рынок (без учета РЕПО)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акций,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рынок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рынок (без учета РЕПО)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рынок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рынок (без учета РЕПО)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контракты на фондовом рынке,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Фьючерсы,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Опционы,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Валютный рынок (без учета РЕПО)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Кредитно-депозитный рынок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РЕПО (вторичный рынок),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 с акциями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 с корпоративными долговыми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 с государственными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рынок,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Лесопродукция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Металлопродукция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и промтовары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и потребительские товары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Сельхозпродукция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товары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контракты на товарном рынке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Энергоносители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стандартизированных финансовых инструментов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F14.02.04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10-й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(Q1, Q2, Q3, Q4)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Биржевая торговля отдельными видами товаров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сделок, единиц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сделок, млн. единиц национальной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торговый лот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средневзвешенная цена, единиц национальной валюты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Кукуруза кормовая SCR1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Кукуруза кормовая SCR2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Кукуруза кормовая SCR3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Пшеница мягкая SWH3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Пшеница мягкая SWH4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Пшеница мягкая SWH5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Сахар белый SSGCFO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Сахар белый SSGYFO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Сахар белый SSGPFO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Ячмень кормовой SBR1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Ячмень кормовой SBR2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СВОП Ячмень кормовой SBR3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Пшеница мягкая FWH3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Пшеница мягкая FWH4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Пшеница мягкая FWH5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Сахар белый FSGCFO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Сахар белый FSGYFO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Сахар белый FSGPFO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Соя SB1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Соя SB2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Соя SB3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кукуруза FCR1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кукуруза FCR2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кукуруза FCR3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подсолнечник FSF1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подсолнечник FSF2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подсолнечник FSF3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1-го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2-го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3-го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4-го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5-го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L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пшеницы яровой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2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для выработки солода в спиртовом производстве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на продовольственные цели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Зерно, ржаная, пшеничная мука и крупа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переработки масличных культур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 технический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сухая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сычужные и творог (экспорт)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(внутренний рынок)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сухая (внутренний рынок)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(внутренний рынок)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сычужные (внутренний рынок)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Шроты, жмыхи, продукция, получаемая при извлечении растительных масел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Злаковые и кормовые добавки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масла и семена масличных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"Премиум-95"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сырое (внутренний рынок)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Кожевенное сырье для реализации в пределах таможенной территории ЕАЭС (внутренний рынок, экспорт)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растений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для посева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препараты (внутренний рынок, импорт)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"нетбэк" (netback) за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"Регулятор-92"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"нетбэк" (netback) за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"ДТ летнее"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"нетбэк" (netback) за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"ДТ зимнее"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"нетбэк" (netback) за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 "ДТ межсезонное"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"нетбэк" (netback) за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формат F15.04.02 изложить в следующей редакции: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формата ЕЭК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F15.04.02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Полугодие /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Активы и обязательства банков</w:t>
      </w:r>
      <w:r>
        <w:rPr>
          <w:rFonts w:ascii="Times New Roman"/>
          <w:b/>
          <w:i w:val="false"/>
          <w:color w:val="000000"/>
          <w:vertAlign w:val="superscript"/>
        </w:rPr>
        <w:t>1)</w:t>
      </w:r>
      <w:r>
        <w:rPr>
          <w:rFonts w:ascii="Times New Roman"/>
          <w:b/>
          <w:i w:val="false"/>
          <w:color w:val="000000"/>
        </w:rPr>
        <w:t>, показатели рентабельности миллиардов единиц национальной валюты, на конец периода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банкам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банкам под контролем государств - членов ЕАЭС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банков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 них: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и депозиты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кроме 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прочие ссуды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 них: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кроме 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банков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банкам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банкам под контролем государств - членов ЕАЭС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национальной методологии: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банков для расчета рентабельности, млрд. единиц национальной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активов,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капитала,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_____________________________________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России - кредитных организаций, имеющих право на осуществление банковских операций.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уполномоченного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в формате F15.16.02: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формата изложить в следующей редакции: "F15.16.01";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"полугодовая" заменить словом "годовая";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"Полугодие" исключить;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сноску 1 изложить в следующей редакции: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 Для Кыргызской Республики предоставляется на 110-й день, для Российской Федерации – на 150-й день.";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в формате F28.01.02: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формата изложить в следующей редакции: "F28.01.01";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"полугодовая" заменить словом "годовая";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"Полугодие" исключить;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сноску 1 изложить в следующей редакции: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 Для Республики Беларусь предоставляется на 120-й день, для Кыргызской Республики и Российской Федерации – на 180-й день.".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