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229b" w14:textId="5fc2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смесей монокарбоновых жирных кислот пальмового масла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декабря 2020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Смесь монокарбоновых жирных кислот пальмового масла (в основном пальмитиновой и стеариновой кислот), полученных гидролизом, дистилляцией и гидрогенизацией из пальмового масла, распыленных на связующее вещество (носитель) – диоксид кремния или бентонит, с возможным добавлением ароматизатора, представленная в виде гранулированного порошка и предназначенная для добавления в корм животным, в соответствии с Основным правилом интерпретации Товарной номенклатуры внешнеэкономической деятельности 1 классифицируется в товарной позиции 3823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Смесь монокарбоновых жирных кислот пальмового масла (в основном пальмитиновой и олеиновой кислот), полученных гидролизом, дистилляцией и гидрогенизацией из пальмового масла, с добавлением лецитина, представленная в виде гранулированного порошка и предназначенная для добавления в корм животным, в соответствии с Основным правилом интерпретации Товарной номенклатуры внешнеэкономической деятельности 1 классифицируется в товарной позиции 2309 единой Товарной номенклатуры внешнеэкономической деятельности Евразийского экономического союза.    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