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c4d4" w14:textId="8ecc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антидемпинговой меры в отношении грузовых шин, происходящих из Китайской Народной Республики и ввозимых на таможенную территорию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ноября 2020 года № 143. Утратило силу решением Коллегии Евразийской экономической комиссии от 29 июня 2021 года № 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29.06.2021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пункта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Продлить по 18 августа 2021 г. включительно действие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154 "О применении антидемпинговой меры посредством введения антидемпинговой пошлины в отношении грузовых шин, происходящих из Китайской Народной Республики и ввозимых на таможенную территорию Евразийского экономического союза".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Государственным органам государств – членов Евразийского экономического союза, уполномоченным в сфере таможенного дела, с даты вступления в силу настоящего Решения по 18 августа 2021 г. включительно обеспечить взимание антидемпинговой пошлины по ставкам, установленным Решением Коллегии Евразийской экономической комиссии от 17 ноября 2015 г. № 154, в порядке, установленном для взимания предварительных антидемпинговых пошлин.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опубликования, но не ранее 18 декабря 2020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