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5eba" w14:textId="e6f5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магнетронов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сентября 2020 года № 119.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1.8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10 апреля 2020 г. № 6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в отношении отдельных видов магнетронов, классифицируемых кодом 8540 71 000 1 ТН ВЭД ЕАЭС, в размере 0 процентов от таможенной стоимости с даты вступления в силу настоящего Решения по 31 декабря 2023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8540 71 000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1С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76С)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76С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76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29 сентября 2020 г. № 119 по 31.12.2023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