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c3fd" w14:textId="bacc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красок, лаков и поверхностно-активных средств для кожевенно-обувной промышленности и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сентября 2020 года № 112.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10 апреля 2020 г. № 6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красок и лаков для кожевенно-обувной промышленности, классифицируемых кодом 3210 00 900 1 ТН ВЭД ЕАЭС, и поверхностно-активных средств для кожевенно-обувной промышленности, классифицируемых кодом 3402 90 100 2 ТН ВЭД ЕАЭС, в размере 0 процентов от таможенной стоимости с даты вступления в силу настоящего Решения по 31 октября 2023 г. включительно.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3210 00 900 1 ТН ВЭД ЕАЭС и 3402 90 100 2 ТН ВЭД ЕАЭС ссылки на примечания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10С)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соответственно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признать примечание 11С к Единому таможенному тарифу Евразийского экономического союза утратившим силу;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примечания к Единому таможенному тарифу Евразийского экономического союза дополнить примечанием 77С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77С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22 сентября 2020 г. № 112 по 31.10.2023 включительно.".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1 января 2022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утвержденном Решением Коллегии Евразийской экономической комиссии от 28 апреля 2020 г. № 62, позицию с кодом 3402 90 100 2 ТН ВЭД ЕАЭС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