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0f95c" w14:textId="880f9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Коллегии Евразийской экономической комиссии от 11 июля 2017 г. № 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23 июня 2020 г. № 82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 Договора о Евразийском экономическом союзе от 29 мая 2014 года, 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2 к Регламенту работы Евразийской экономической комиссии, утвержденному Решением Высшего Евразийского экономического совета от 23 декабря 2014 г. № 98, с учетом </w:t>
      </w:r>
      <w:r>
        <w:rPr>
          <w:rFonts w:ascii="Times New Roman"/>
          <w:b w:val="false"/>
          <w:i w:val="false"/>
          <w:color w:val="000000"/>
          <w:sz w:val="28"/>
        </w:rPr>
        <w:t>пункта 50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Порядка разработки, принятия, изменения и отмены технических регламентов Евразийского экономического союза, утвержденного Решением Совета Евразийской экономической комиссии от 20 июня 2012 г. № 48,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rPr>
          <w:rFonts w:ascii="Times New Roman"/>
          <w:b w:val="false"/>
          <w:i w:val="false"/>
          <w:color w:val="000000"/>
          <w:sz w:val="28"/>
        </w:rPr>
        <w:t xml:space="preserve"> 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 </w:t>
      </w:r>
      <w:r>
        <w:rPr>
          <w:rFonts w:ascii="Times New Roman"/>
          <w:b w:val="false"/>
          <w:i w:val="false"/>
          <w:color w:val="000000"/>
          <w:sz w:val="28"/>
        </w:rPr>
        <w:t>подпунктах "а"</w:t>
      </w:r>
      <w:r>
        <w:rPr>
          <w:rFonts w:asci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/>
          <w:b w:val="false"/>
          <w:i w:val="false"/>
          <w:color w:val="000000"/>
          <w:sz w:val="28"/>
        </w:rPr>
        <w:t>"в"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Решения Коллегии Евразийской экономической комиссии от 11 июля 2017 г. № 83 "О переходных положениях технического регламента Евразийского экономического союза "О безопасности оборудования для детских игровых площадок" (ТР ЕАЭС 042/2017)" слова "1 июня 2020 г." заменить словами "1 декабря 2021 г.".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Просить правительства государств – членов Евразийского экономического союза обеспечить в соответствии с законодательством своих государств безопасность эксплуатируемого оборудования для детских игровых площадок, выпущенного в обращение без документов об обязательной оценке соответствия требованиям законодательства государств-членов.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вступает в силу по истечении 30 календарных дней с даты его официального опубликования и распространяется на правоотношения, возникшие с 1 июня 2020 г.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М. Мясникович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