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9ddf" w14:textId="22f9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лабораторного обеспечения карантинных фитосанитарных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июня 2020 года № 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 12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лабораторного обеспечения карантинных фитосанитарных мер, утвержденный Решением Коллегии Евразийской экономической комиссии от 10 мая 2016 г. № 41,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четвертого дополнить абзацем следующего содержания: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"образец (проба) – количество подкарантинной продукции, отобранное из партии подкарантинной продукции для проведения карантинной фитосанитарной экспертизы, пораженные (поврежденные) вредителями и болезнями части подкарантинного материала, экземпляры и препараты карантинных объектов, микропрепараты возбудителей болезней.";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 Образцы (пробы) свежих фруктов, овощей, ягод, грибов, зеленных культур, срезанных цветов, свежих ветвей и других частей растений для декоративных целей, в которых не были обнаружены карантинные объекты, хранятся в карантинной фитосанитарной (испытательной) лаборатории до завершения проведения всех необходимых экспертиз и выдачи заключения карантинной фитосанитарной экспертизы.";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дополнить пунктами 13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и 13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Образцы (пробы) семенного и посадочного материала растений, в которых не обнаружены карантинные объекты, после завершения карантинной фитосанитарной экспертизы хранению не подлежат и могут быть возвращены собственнику в случаях, когда они представляют научную или хозяйственную ценность.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. Образцы (пробы), представляющие собой экземпляры и препараты карантинных объектов, микропрепараты возбудителей болезней и пораженные (поврежденные) карантинными объектами части растений, хранятся в карантинной фитосанитарной (испытательной) лаборатории или ином месте в соответствии с законодательством государства-члена при соблюдении условий, указанных в пункте 12 настоящего Порядка, до истечения срока годности подкарантинной продукции, но не менее чем в течение 3 месяцев после завершения проведения карантинной фитосанитарной экспертизы. В случае если образец карантинного объекта или регулируемого некарантинного вредного организма представляет собой научную ценность или необходимо хранение его как справочного или коллекционного материала, возможны его хранение в соответствии с законодательством государства-члена или передача в экспертные организации с соблюдением условий, исключающих возможность его распространения.". 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