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dca5" w14:textId="2a4d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28 апреля 2020 года № 61.</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29.06.2021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Договора о Евразийском экономическом союзе от 29 мая 2014 года, пунктом 43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и на основании Протокола о внесении изменений в Протокол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подписанного 14 апреля 2020 года (далее – Протокол о внесении изменений),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 товаров</w:t>
      </w:r>
      <w:r>
        <w:rPr>
          <w:rFonts w:ascii="Times New Roman"/>
          <w:b w:val="false"/>
          <w:i w:val="false"/>
          <w:color w:val="000000"/>
          <w:sz w:val="28"/>
        </w:rPr>
        <w:t xml:space="preserve">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 утвержденный Решением Коллегии Евразийской экономической комиссии от 30 июня 2015 г. № 68,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января 2020 г.</w:t>
      </w:r>
    </w:p>
    <w:bookmarkEnd w:id="2"/>
    <w:bookmarkStart w:name="z7" w:id="3"/>
    <w:p>
      <w:pPr>
        <w:spacing w:after="0"/>
        <w:ind w:left="0"/>
        <w:jc w:val="both"/>
      </w:pPr>
      <w:r>
        <w:rPr>
          <w:rFonts w:ascii="Times New Roman"/>
          <w:b w:val="false"/>
          <w:i w:val="false"/>
          <w:color w:val="000000"/>
          <w:sz w:val="28"/>
        </w:rPr>
        <w:t>
      Применение настоящего Решения государствами – членами Евразийского экономического союза осуществляется в соответствии со статьей 2 Протокола о внесении изменений.</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апреля 2020 г. № 61   </w:t>
            </w:r>
          </w:p>
        </w:tc>
      </w:tr>
    </w:tbl>
    <w:p>
      <w:pPr>
        <w:spacing w:after="0"/>
        <w:ind w:left="0"/>
        <w:jc w:val="left"/>
      </w:pP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перечень 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 </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30 июня 2015 г. № 68 </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апреля 2020 г. № 61) </w:t>
            </w:r>
          </w:p>
        </w:tc>
      </w:tr>
    </w:tbl>
    <w:bookmarkStart w:name="z13" w:id="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p>
          <w:p>
            <w:pPr>
              <w:spacing w:after="20"/>
              <w:ind w:left="20"/>
              <w:jc w:val="both"/>
            </w:pPr>
            <w:r>
              <w:rPr>
                <w:rFonts w:ascii="Times New Roman"/>
                <w:b w:val="false"/>
                <w:i w:val="false"/>
                <w:color w:val="000000"/>
                <w:sz w:val="20"/>
              </w:rPr>
              <w:t>(в процентах от таможенной стоимости либо в евро, либо в долларах США)</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на</w:t>
            </w:r>
          </w:p>
          <w:bookmarkEnd w:id="6"/>
          <w:p>
            <w:pPr>
              <w:spacing w:after="20"/>
              <w:ind w:left="20"/>
              <w:jc w:val="both"/>
            </w:pPr>
            <w:r>
              <w:rPr>
                <w:rFonts w:ascii="Times New Roman"/>
                <w:b w:val="false"/>
                <w:i w:val="false"/>
                <w:color w:val="000000"/>
                <w:sz w:val="20"/>
              </w:rPr>
              <w:t>
2015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на</w:t>
            </w:r>
          </w:p>
          <w:bookmarkEnd w:id="7"/>
          <w:p>
            <w:pPr>
              <w:spacing w:after="20"/>
              <w:ind w:left="20"/>
              <w:jc w:val="both"/>
            </w:pPr>
            <w:r>
              <w:rPr>
                <w:rFonts w:ascii="Times New Roman"/>
                <w:b w:val="false"/>
                <w:i w:val="false"/>
                <w:color w:val="000000"/>
                <w:sz w:val="20"/>
              </w:rPr>
              <w:t>
2016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на</w:t>
            </w:r>
          </w:p>
          <w:bookmarkEnd w:id="8"/>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на</w:t>
            </w:r>
          </w:p>
          <w:bookmarkEnd w:id="9"/>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на</w:t>
            </w:r>
          </w:p>
          <w:bookmarkEnd w:id="10"/>
          <w:p>
            <w:pPr>
              <w:spacing w:after="20"/>
              <w:ind w:left="20"/>
              <w:jc w:val="both"/>
            </w:pPr>
            <w:r>
              <w:rPr>
                <w:rFonts w:ascii="Times New Roman"/>
                <w:b w:val="false"/>
                <w:i w:val="false"/>
                <w:color w:val="000000"/>
                <w:sz w:val="20"/>
              </w:rPr>
              <w:t>
2019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2020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2021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сперма бычья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семенной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простые гибриды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1005 10 180 1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двойные гибриды и топкроссные гибриды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растворимые рыбные продукты или продукты из морских млекопитающих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расфасованные в формы или упаковки для розничной продажи и содержащие </w:t>
            </w:r>
          </w:p>
          <w:p>
            <w:pPr>
              <w:spacing w:after="20"/>
              <w:ind w:left="20"/>
              <w:jc w:val="both"/>
            </w:pPr>
            <w:r>
              <w:rPr>
                <w:rFonts w:ascii="Times New Roman"/>
                <w:b w:val="false"/>
                <w:i w:val="false"/>
                <w:color w:val="000000"/>
                <w:sz w:val="20"/>
              </w:rPr>
              <w:t>в качестве основного действующего вещества только флуоцинолон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кислоту аскорбиновую </w:t>
            </w:r>
          </w:p>
          <w:p>
            <w:pPr>
              <w:spacing w:after="20"/>
              <w:ind w:left="20"/>
              <w:jc w:val="both"/>
            </w:pPr>
            <w:r>
              <w:rPr>
                <w:rFonts w:ascii="Times New Roman"/>
                <w:b w:val="false"/>
                <w:i w:val="false"/>
                <w:color w:val="000000"/>
                <w:sz w:val="20"/>
              </w:rPr>
              <w:t>(витамин С) или кислоту никотиновую, или кокарбоксилазу, или никотинамид, или пиридоксин, или тиамин и его соли (витамин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кокарбоксилазу или кислоту аскорбиновую </w:t>
            </w:r>
          </w:p>
          <w:p>
            <w:pPr>
              <w:spacing w:after="20"/>
              <w:ind w:left="20"/>
              <w:jc w:val="both"/>
            </w:pPr>
            <w:r>
              <w:rPr>
                <w:rFonts w:ascii="Times New Roman"/>
                <w:b w:val="false"/>
                <w:i w:val="false"/>
                <w:color w:val="000000"/>
                <w:sz w:val="20"/>
              </w:rPr>
              <w:t xml:space="preserve">(витамин С), или цианокобаламин </w:t>
            </w:r>
          </w:p>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3603 00 100 2</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шнуры огнепроводные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3603 00 100 8</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3603 00 900 3</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неэлектрические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ЕТТ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гербициды, содержащие алахлор (ISO) или алдикарб (ISO), или азинфос метил (ISO), или эндосульфан (ISO), или простые эфиры пента- и октабромдифенила, или пентафтороктансуль-</w:t>
            </w:r>
          </w:p>
          <w:p>
            <w:pPr>
              <w:spacing w:after="20"/>
              <w:ind w:left="20"/>
              <w:jc w:val="both"/>
            </w:pPr>
            <w:r>
              <w:rPr>
                <w:rFonts w:ascii="Times New Roman"/>
                <w:b w:val="false"/>
                <w:i w:val="false"/>
                <w:color w:val="000000"/>
                <w:sz w:val="20"/>
              </w:rPr>
              <w:t>фоновую кислоту и ее соли, или перфтороктансуль-</w:t>
            </w:r>
          </w:p>
          <w:p>
            <w:pPr>
              <w:spacing w:after="20"/>
              <w:ind w:left="20"/>
              <w:jc w:val="both"/>
            </w:pPr>
            <w:r>
              <w:rPr>
                <w:rFonts w:ascii="Times New Roman"/>
                <w:b w:val="false"/>
                <w:i w:val="false"/>
                <w:color w:val="000000"/>
                <w:sz w:val="20"/>
              </w:rPr>
              <w:t>фонамиды, или перфтороктансульфо-нилфторид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триазинов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амидов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карбаматов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альдрин (ISO), камфехлор (ISO) (токсафен), хлордан (ISO), хлордекон (ISO), ДДТ (ISO) (клофенотан (INN), 1,1,1-трихлор-2,2-бис(n-хлорфенил)этан), диэлдрин (ISO, INN), эндосульфан (ISO), эндрин (ISO), гептахлор (ISO) или мирекс (ISO)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1,2,3,4,5,6-гексахлорциклогексан (ГХГ (ISO)), включая линдан (ISO, INN)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пентахлорбензол (ISO) или гексахлорбензол (ISO)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перфтороктансульфоновую кислоту, ее соли, перфтороктансульфонамиды или перфтороктансульфо-нилфторид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 пента-, гекса-, гепта- или октабромдифениловые простые эфиры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пропитывающая жидкость для производства силовых конденсаторов</w:t>
            </w:r>
            <w:r>
              <w:rPr>
                <w:rFonts w:ascii="Times New Roman"/>
                <w:b w:val="false"/>
                <w:i w:val="false"/>
                <w:color w:val="000000"/>
                <w:vertAlign w:val="superscript"/>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ЕТТ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манкоцеб для производства химических средств защиты растений</w:t>
            </w:r>
            <w:r>
              <w:rPr>
                <w:rFonts w:ascii="Times New Roman"/>
                <w:b w:val="false"/>
                <w:i w:val="false"/>
                <w:color w:val="000000"/>
                <w:vertAlign w:val="superscript"/>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 с жироулавливающим элементом или местом для его установки, с посадочным местом для подсоединения воздуховода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тракторах или для буксирования тракторами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распределители порошков, предназначенные для установки на тракторах или для буксирования тракторами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пресс-подборщики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приготовления кормов для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семян, зерна или сухих бобовых овощей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цепные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дисковые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экологического класса 4 или выше</w:t>
            </w:r>
            <w:r>
              <w:rPr>
                <w:rFonts w:ascii="Times New Roman"/>
                <w:b w:val="false"/>
                <w:i w:val="false"/>
                <w:color w:val="000000"/>
                <w:vertAlign w:val="superscript"/>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2300 см³, но не более 2800 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3000 см³, но менее 3500 см³, поименованные в дополнительном примечании Евразийского экономического союза 6 к данной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приводимые в движение только электрическим двигателем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с полной массой более 15 т и габаритной длиной не менее 13,6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рефрижераторные, с внутренним объемом кузова не менее 76 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инсулина объемом не более 2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трубчатые металлические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bl>
    <w:p>
      <w:pPr>
        <w:spacing w:after="0"/>
        <w:ind w:left="0"/>
        <w:jc w:val="both"/>
      </w:pPr>
      <w:bookmarkStart w:name="z19" w:id="11"/>
      <w:r>
        <w:rPr>
          <w:rFonts w:ascii="Times New Roman"/>
          <w:b w:val="false"/>
          <w:i w:val="false"/>
          <w:color w:val="000000"/>
          <w:sz w:val="28"/>
        </w:rPr>
        <w:t>
      ___________________</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Ставки ввозных таможенных пошлин применяются с 1 января указанного календарного года, в 2015 году –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Ставка ввозной таможенной пошлины применяется при условии, что лицо, являющееся декларантом указанных товаров, включено в соответствующий перечень организаций и лиц, ежегодно представляемый в Евразийскую экономическую комиссию Кыргызской Республикой, а также при условии представления в таможенный орган государства – члена Евразийского экономического союза подтверждения уполномоченного органа исполнительной власти Кыргызской Республики целевого назначения ввозимого товара.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период с 1 января 2020 г. до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26 февраля 2020 г. № 28 ставка ввозной таможенной пошлины в размере 0 % от таможенной стоимости применялась в отношении товаров, классифицируемых кодами 3603 00 100 9 и 3603 00 900 1 ТН ВЭД ЕАЭС.".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