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5395" w14:textId="a045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структуру и формат декларации таможенной стоимости</w:t>
      </w:r>
    </w:p>
    <w:p>
      <w:pPr>
        <w:spacing w:after="0"/>
        <w:ind w:left="0"/>
        <w:jc w:val="both"/>
      </w:pPr>
      <w:r>
        <w:rPr>
          <w:rFonts w:ascii="Times New Roman"/>
          <w:b w:val="false"/>
          <w:i w:val="false"/>
          <w:color w:val="000000"/>
          <w:sz w:val="28"/>
        </w:rPr>
        <w:t>Решение Коллегии Евразийской экономической комиссии от 21 апреля 2020 года № 52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105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структуру и формат</w:t>
      </w:r>
      <w:r>
        <w:rPr>
          <w:rFonts w:ascii="Times New Roman"/>
          <w:b w:val="false"/>
          <w:i w:val="false"/>
          <w:color w:val="000000"/>
          <w:sz w:val="28"/>
        </w:rPr>
        <w:t xml:space="preserve"> декларации таможенной стоимости, утвержденные Решением Коллегии Евразийской экономической комиссии от 16 января 2018 г. № 4, изменения согласно приложению.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с 1 октября 2020 г.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21 апреля 2020 г. № 52  </w:t>
            </w:r>
          </w:p>
        </w:tc>
      </w:tr>
    </w:tbl>
    <w:bookmarkStart w:name="z9" w:id="3"/>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структуру и формат декларации таможенной стоимости </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таблице 1</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а) в позиции 3 в графе "Описание" цифры "1.0.2" заменить цифрами "1.1.0";</w:t>
      </w:r>
    </w:p>
    <w:bookmarkEnd w:id="5"/>
    <w:bookmarkStart w:name="z12" w:id="6"/>
    <w:p>
      <w:pPr>
        <w:spacing w:after="0"/>
        <w:ind w:left="0"/>
        <w:jc w:val="both"/>
      </w:pPr>
      <w:r>
        <w:rPr>
          <w:rFonts w:ascii="Times New Roman"/>
          <w:b w:val="false"/>
          <w:i w:val="false"/>
          <w:color w:val="000000"/>
          <w:sz w:val="28"/>
        </w:rPr>
        <w:t>
      б) позицию 4 в графе "Описание" изложить в следующей редакции:</w:t>
      </w:r>
    </w:p>
    <w:bookmarkEnd w:id="6"/>
    <w:bookmarkStart w:name="z13" w:id="7"/>
    <w:p>
      <w:pPr>
        <w:spacing w:after="0"/>
        <w:ind w:left="0"/>
        <w:jc w:val="both"/>
      </w:pPr>
      <w:r>
        <w:rPr>
          <w:rFonts w:ascii="Times New Roman"/>
          <w:b w:val="false"/>
          <w:i w:val="false"/>
          <w:color w:val="000000"/>
          <w:sz w:val="28"/>
        </w:rPr>
        <w:t>
      "urn:EEC:R:038:CustomsValueDeclaration:v1.1.0";</w:t>
      </w:r>
    </w:p>
    <w:bookmarkEnd w:id="7"/>
    <w:bookmarkStart w:name="z14" w:id="8"/>
    <w:p>
      <w:pPr>
        <w:spacing w:after="0"/>
        <w:ind w:left="0"/>
        <w:jc w:val="both"/>
      </w:pPr>
      <w:r>
        <w:rPr>
          <w:rFonts w:ascii="Times New Roman"/>
          <w:b w:val="false"/>
          <w:i w:val="false"/>
          <w:color w:val="000000"/>
          <w:sz w:val="28"/>
        </w:rPr>
        <w:t>
      в) позицию 6 в графе "Описание" изложить в следующей редакции:</w:t>
      </w:r>
    </w:p>
    <w:bookmarkEnd w:id="8"/>
    <w:bookmarkStart w:name="z15" w:id="9"/>
    <w:p>
      <w:pPr>
        <w:spacing w:after="0"/>
        <w:ind w:left="0"/>
        <w:jc w:val="both"/>
      </w:pPr>
      <w:r>
        <w:rPr>
          <w:rFonts w:ascii="Times New Roman"/>
          <w:b w:val="false"/>
          <w:i w:val="false"/>
          <w:color w:val="000000"/>
          <w:sz w:val="28"/>
        </w:rPr>
        <w:t>
      "EEC_R_038_CustomsValueDeclaration_v1.1.0.xsd".</w:t>
      </w:r>
    </w:p>
    <w:bookmarkEnd w:id="9"/>
    <w:bookmarkStart w:name="z16"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таблице 3</w:t>
      </w:r>
      <w:r>
        <w:rPr>
          <w:rFonts w:ascii="Times New Roman"/>
          <w:b w:val="false"/>
          <w:i w:val="false"/>
          <w:color w:val="000000"/>
          <w:sz w:val="28"/>
        </w:rPr>
        <w:t xml:space="preserve"> позицию 20.1 изложить в следующей редакции:</w:t>
      </w:r>
    </w:p>
    <w:bookmarkEnd w:id="10"/>
    <w:tbl>
      <w:tblPr>
        <w:tblW w:w="0" w:type="auto"/>
        <w:tblCellSpacing w:w="0" w:type="auto"/>
        <w:tblBorders>
          <w:top w:val="none"/>
          <w:left w:val="none"/>
          <w:bottom w:val="none"/>
          <w:right w:val="none"/>
          <w:insideH w:val="none"/>
          <w:insideV w:val="none"/>
        </w:tblBorders>
      </w:tblPr>
      <w:tblGrid>
        <w:gridCol w:w="4138"/>
        <w:gridCol w:w="694"/>
        <w:gridCol w:w="3406"/>
        <w:gridCol w:w="3407"/>
        <w:gridCol w:w="655"/>
      </w:tblGrid>
      <w:tr>
        <w:trPr>
          <w:trHeight w:val="30" w:hRule="atLeast"/>
        </w:trPr>
        <w:tc>
          <w:tcPr>
            <w:tcW w:w="4138" w:type="dxa"/>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"20.1. Лицо, подписавшее документ</w:t>
            </w:r>
            <w:r>
              <w:br/>
            </w:r>
            <w:r>
              <w:rPr>
                <w:rFonts w:ascii="Times New Roman"/>
                <w:b w:val="false"/>
                <w:i w:val="false"/>
                <w:color w:val="000000"/>
                <w:sz w:val="20"/>
              </w:rPr>
              <w:t>
(cacdo:‌Signing‌Details)</w:t>
            </w:r>
          </w:p>
          <w:bookmarkEnd w:id="11"/>
        </w:tc>
        <w:tc>
          <w:tcPr>
            <w:tcW w:w="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подписавшем документ</w:t>
            </w:r>
          </w:p>
        </w:tc>
        <w:tc>
          <w:tcPr>
            <w:tcW w:w="3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3407" w:type="dxa"/>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M.CA.CDT.00155</w:t>
            </w:r>
            <w:r>
              <w:br/>
            </w:r>
            <w:r>
              <w:rPr>
                <w:rFonts w:ascii="Times New Roman"/>
                <w:b w:val="false"/>
                <w:i w:val="false"/>
                <w:color w:val="000000"/>
                <w:sz w:val="20"/>
              </w:rPr>
              <w:t>
Определяется областями значений вложенных элементов</w:t>
            </w:r>
          </w:p>
          <w:bookmarkEnd w:id="12"/>
        </w:tc>
        <w:tc>
          <w:tcPr>
            <w:tcW w:w="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 w:id="13"/>
    <w:p>
      <w:pPr>
        <w:spacing w:after="0"/>
        <w:ind w:left="0"/>
        <w:jc w:val="both"/>
      </w:pPr>
      <w:r>
        <w:rPr>
          <w:rFonts w:ascii="Times New Roman"/>
          <w:b w:val="false"/>
          <w:i w:val="false"/>
          <w:color w:val="000000"/>
          <w:sz w:val="28"/>
        </w:rPr>
        <w:t>
      3. Абзац четырнадцатый пункта 12 изложить в следующей редакции:</w:t>
      </w:r>
    </w:p>
    <w:bookmarkEnd w:id="13"/>
    <w:bookmarkStart w:name="z20" w:id="14"/>
    <w:p>
      <w:pPr>
        <w:spacing w:after="0"/>
        <w:ind w:left="0"/>
        <w:jc w:val="both"/>
      </w:pPr>
      <w:r>
        <w:rPr>
          <w:rFonts w:ascii="Times New Roman"/>
          <w:b w:val="false"/>
          <w:i w:val="false"/>
          <w:color w:val="000000"/>
          <w:sz w:val="28"/>
        </w:rPr>
        <w:t>
      "правило заполнения реквизита" – определяет правило заполнения реквизита;".</w:t>
      </w:r>
    </w:p>
    <w:bookmarkEnd w:id="14"/>
    <w:bookmarkStart w:name="z21" w:id="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таблице 10</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а) наименование графы "Правило заполнения*" изложить в следующей редакции:</w:t>
      </w:r>
    </w:p>
    <w:bookmarkEnd w:id="16"/>
    <w:bookmarkStart w:name="z23" w:id="17"/>
    <w:p>
      <w:pPr>
        <w:spacing w:after="0"/>
        <w:ind w:left="0"/>
        <w:jc w:val="both"/>
      </w:pPr>
      <w:r>
        <w:rPr>
          <w:rFonts w:ascii="Times New Roman"/>
          <w:b w:val="false"/>
          <w:i w:val="false"/>
          <w:color w:val="000000"/>
          <w:sz w:val="28"/>
        </w:rPr>
        <w:t>
      "Правило заполнения реквизита*";</w:t>
      </w:r>
    </w:p>
    <w:bookmarkEnd w:id="17"/>
    <w:bookmarkStart w:name="z24" w:id="18"/>
    <w:p>
      <w:pPr>
        <w:spacing w:after="0"/>
        <w:ind w:left="0"/>
        <w:jc w:val="both"/>
      </w:pPr>
      <w:r>
        <w:rPr>
          <w:rFonts w:ascii="Times New Roman"/>
          <w:b w:val="false"/>
          <w:i w:val="false"/>
          <w:color w:val="000000"/>
          <w:sz w:val="28"/>
        </w:rPr>
        <w:t>
      б) позицию 3 изложить в следующей редакции:</w:t>
      </w:r>
    </w:p>
    <w:bookmarkEnd w:id="18"/>
    <w:tbl>
      <w:tblPr>
        <w:tblW w:w="0" w:type="auto"/>
        <w:tblCellSpacing w:w="0" w:type="auto"/>
        <w:tblBorders>
          <w:top w:val="none"/>
          <w:left w:val="none"/>
          <w:bottom w:val="none"/>
          <w:right w:val="none"/>
          <w:insideH w:val="none"/>
          <w:insideV w:val="none"/>
        </w:tblBorders>
      </w:tblPr>
      <w:tblGrid>
        <w:gridCol w:w="2052"/>
        <w:gridCol w:w="228"/>
        <w:gridCol w:w="228"/>
        <w:gridCol w:w="228"/>
        <w:gridCol w:w="228"/>
        <w:gridCol w:w="228"/>
        <w:gridCol w:w="287"/>
        <w:gridCol w:w="228"/>
        <w:gridCol w:w="40"/>
        <w:gridCol w:w="9017"/>
      </w:tblGrid>
      <w:tr>
        <w:trPr>
          <w:trHeight w:val="30" w:hRule="atLeast"/>
        </w:trPr>
        <w:tc>
          <w:tcPr>
            <w:tcW w:w="2052" w:type="dxa"/>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"3. Идентификатор исходного электронного документа (сведений)</w:t>
            </w:r>
            <w:r>
              <w:br/>
            </w:r>
            <w:r>
              <w:rPr>
                <w:rFonts w:ascii="Times New Roman"/>
                <w:b w:val="false"/>
                <w:i w:val="false"/>
                <w:color w:val="000000"/>
                <w:sz w:val="20"/>
              </w:rPr>
              <w:t>
(csdo:‌EDoc‌Ref‌Id)</w:t>
            </w:r>
          </w:p>
          <w:bookmarkEnd w:id="19"/>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исходного электронного документа (сведений) (csdo:‌EDoc‌Ref‌Id)" заполнен, то значение реквизита должно соответствовать шаблону: [0-9a-fA-F]{8}-[0-9a-fA-F]{4}-[0-9a-fA-F]{4}-[0-9a-fA-F]{4}-[0-9a-fA-F]{12}";</w:t>
            </w:r>
          </w:p>
        </w:tc>
      </w:tr>
    </w:tbl>
    <w:bookmarkStart w:name="z26" w:id="20"/>
    <w:p>
      <w:pPr>
        <w:spacing w:after="0"/>
        <w:ind w:left="0"/>
        <w:jc w:val="both"/>
      </w:pPr>
      <w:r>
        <w:rPr>
          <w:rFonts w:ascii="Times New Roman"/>
          <w:b w:val="false"/>
          <w:i w:val="false"/>
          <w:color w:val="000000"/>
          <w:sz w:val="28"/>
        </w:rPr>
        <w:t>
      в) в позиции 12.12.2 в графе 10 слова "двухбуквенное значение" заменить словами "значение двухбуквенного";</w:t>
      </w:r>
    </w:p>
    <w:bookmarkEnd w:id="20"/>
    <w:bookmarkStart w:name="z27" w:id="21"/>
    <w:p>
      <w:pPr>
        <w:spacing w:after="0"/>
        <w:ind w:left="0"/>
        <w:jc w:val="both"/>
      </w:pPr>
      <w:r>
        <w:rPr>
          <w:rFonts w:ascii="Times New Roman"/>
          <w:b w:val="false"/>
          <w:i w:val="false"/>
          <w:color w:val="000000"/>
          <w:sz w:val="28"/>
        </w:rPr>
        <w:t>
      г) позицию 13.6.а изложить в следующей редакции:</w:t>
      </w:r>
    </w:p>
    <w:bookmarkEnd w:id="21"/>
    <w:tbl>
      <w:tblPr>
        <w:tblW w:w="0" w:type="auto"/>
        <w:tblCellSpacing w:w="0" w:type="auto"/>
        <w:tblBorders>
          <w:top w:val="none"/>
          <w:left w:val="none"/>
          <w:bottom w:val="none"/>
          <w:right w:val="none"/>
          <w:insideH w:val="none"/>
          <w:insideV w:val="none"/>
        </w:tblBorders>
      </w:tblPr>
      <w:tblGrid>
        <w:gridCol w:w="1179"/>
        <w:gridCol w:w="259"/>
        <w:gridCol w:w="259"/>
        <w:gridCol w:w="259"/>
        <w:gridCol w:w="259"/>
        <w:gridCol w:w="259"/>
        <w:gridCol w:w="106"/>
        <w:gridCol w:w="259"/>
        <w:gridCol w:w="1121"/>
        <w:gridCol w:w="8340"/>
      </w:tblGrid>
      <w:tr>
        <w:trPr>
          <w:trHeight w:val="30" w:hRule="atLeast"/>
        </w:trPr>
        <w:tc>
          <w:tcPr>
            <w:tcW w:w="1179" w:type="dxa"/>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22"/>
        </w:tc>
        <w:tc>
          <w:tcPr>
            <w:tcW w:w="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8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кодовое обозначение вида номера (кода) записи по государственному реестру (регистру) в соответствии со справочником методов идентификации хозяйствующих субъектов при их государственной регистрации в государствах – членах Евразийского экономического союза";</w:t>
            </w:r>
          </w:p>
        </w:tc>
      </w:tr>
    </w:tbl>
    <w:bookmarkStart w:name="z29" w:id="23"/>
    <w:p>
      <w:pPr>
        <w:spacing w:after="0"/>
        <w:ind w:left="0"/>
        <w:jc w:val="both"/>
      </w:pPr>
      <w:r>
        <w:rPr>
          <w:rFonts w:ascii="Times New Roman"/>
          <w:b w:val="false"/>
          <w:i w:val="false"/>
          <w:color w:val="000000"/>
          <w:sz w:val="28"/>
        </w:rPr>
        <w:t>
      д) в позициях 13.11.1, 13.12.2 и 13.14.10.2 в графе 10 слова "двухбуквенное значение" заменить словами "значение двухбуквенного";</w:t>
      </w:r>
    </w:p>
    <w:bookmarkEnd w:id="23"/>
    <w:bookmarkStart w:name="z30" w:id="24"/>
    <w:p>
      <w:pPr>
        <w:spacing w:after="0"/>
        <w:ind w:left="0"/>
        <w:jc w:val="both"/>
      </w:pPr>
      <w:r>
        <w:rPr>
          <w:rFonts w:ascii="Times New Roman"/>
          <w:b w:val="false"/>
          <w:i w:val="false"/>
          <w:color w:val="000000"/>
          <w:sz w:val="28"/>
        </w:rPr>
        <w:t>
      е) позицию 14.6.а изложить в следующей редакции:</w:t>
      </w:r>
    </w:p>
    <w:bookmarkEnd w:id="24"/>
    <w:tbl>
      <w:tblPr>
        <w:tblW w:w="0" w:type="auto"/>
        <w:tblCellSpacing w:w="0" w:type="auto"/>
        <w:tblBorders>
          <w:top w:val="none"/>
          <w:left w:val="none"/>
          <w:bottom w:val="none"/>
          <w:right w:val="none"/>
          <w:insideH w:val="none"/>
          <w:insideV w:val="none"/>
        </w:tblBorders>
      </w:tblPr>
      <w:tblGrid>
        <w:gridCol w:w="1179"/>
        <w:gridCol w:w="259"/>
        <w:gridCol w:w="259"/>
        <w:gridCol w:w="259"/>
        <w:gridCol w:w="259"/>
        <w:gridCol w:w="259"/>
        <w:gridCol w:w="106"/>
        <w:gridCol w:w="259"/>
        <w:gridCol w:w="1121"/>
        <w:gridCol w:w="8340"/>
      </w:tblGrid>
      <w:tr>
        <w:trPr>
          <w:trHeight w:val="30" w:hRule="atLeast"/>
        </w:trPr>
        <w:tc>
          <w:tcPr>
            <w:tcW w:w="1179" w:type="dxa"/>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25"/>
        </w:tc>
        <w:tc>
          <w:tcPr>
            <w:tcW w:w="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8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кодовое обозначение вида номера (кода) записи по государственному реестру (регистру) в соответствии со справочником методов идентификации хозяйствующих субъектов при их государственной регистрации в государствах – членах Евразийского экономического союза";</w:t>
            </w:r>
          </w:p>
        </w:tc>
      </w:tr>
    </w:tbl>
    <w:bookmarkStart w:name="z32" w:id="26"/>
    <w:p>
      <w:pPr>
        <w:spacing w:after="0"/>
        <w:ind w:left="0"/>
        <w:jc w:val="both"/>
      </w:pPr>
      <w:r>
        <w:rPr>
          <w:rFonts w:ascii="Times New Roman"/>
          <w:b w:val="false"/>
          <w:i w:val="false"/>
          <w:color w:val="000000"/>
          <w:sz w:val="28"/>
        </w:rPr>
        <w:t>
      ж) в позиции 14.11.1 в графе 10 слова "двухбуквенное значение кода страны ," заменить словами "значение двухбуквенного кода страны,";</w:t>
      </w:r>
    </w:p>
    <w:bookmarkEnd w:id="26"/>
    <w:bookmarkStart w:name="z33" w:id="27"/>
    <w:p>
      <w:pPr>
        <w:spacing w:after="0"/>
        <w:ind w:left="0"/>
        <w:jc w:val="both"/>
      </w:pPr>
      <w:r>
        <w:rPr>
          <w:rFonts w:ascii="Times New Roman"/>
          <w:b w:val="false"/>
          <w:i w:val="false"/>
          <w:color w:val="000000"/>
          <w:sz w:val="28"/>
        </w:rPr>
        <w:t>
      з) в позициях 14.12.2, 14.14.10.2 и 14.15.1 в графе 10 слова "двухбуквенное значение" заменить словами "значение двухбуквенного";</w:t>
      </w:r>
    </w:p>
    <w:bookmarkEnd w:id="27"/>
    <w:bookmarkStart w:name="z34" w:id="28"/>
    <w:p>
      <w:pPr>
        <w:spacing w:after="0"/>
        <w:ind w:left="0"/>
        <w:jc w:val="both"/>
      </w:pPr>
      <w:r>
        <w:rPr>
          <w:rFonts w:ascii="Times New Roman"/>
          <w:b w:val="false"/>
          <w:i w:val="false"/>
          <w:color w:val="000000"/>
          <w:sz w:val="28"/>
        </w:rPr>
        <w:t>
      и) в позициях 18.8.а, 18.10.1.1.а, 18.10.1.2.а, 18.10.1.3.а, 18.10.1.4.а, 18.10.1.5.а, 18.10.1.6.а, 18.10.2.1.а, 18.10.2.2.а, 18.10.2.3.а, 18.10.2.4.а, 18.10.2.5.а, 18.10.2.6.а, 18.10.2.7.а, 8.10.2.8.а, 18.10.2.10.а, 18.10.2.11.а, 18.10.2.12.а, 18.10.2.13.а, 18.10.3.1.а, 18.10.3.2.а, 18.10.3.3.а, 18.10.3.4.а, 18.11.1.а, 18.11.2.1.а, 18.11.2.2.а, 18.11.2.4.а, 18.11.2.5.а, 18.11.2.6.а, 18.11.2.7.а, 18.11.3.1.а, 18.11.3.2.а, 18.11.3.4.а, 18.11.3.5.а, 18.11.3.6.а, 18.11.3.7.а, 18.11.4.а, 18.12.1.а, 18.12.3.а, 18.12.4.а, 18.12.5.а, 18.12.6.а, 18.12.7.а, 18.13.1.а, 18.13.2.а, 18.13.3.а, 18.13.4.а, 18.13.5.а, 18.13.6.а, 18.13.7.а, 18.13.8.а, 18.13.9.а, 18.13.11.а, 18.13.12.а, 18.13.13.а, 18.15.2.а и 18.15.3.а в графе 10 слова "трехбуквенное значение" заменить словами "значение трехбуквенного";</w:t>
      </w:r>
    </w:p>
    <w:bookmarkEnd w:id="28"/>
    <w:bookmarkStart w:name="z35" w:id="29"/>
    <w:p>
      <w:pPr>
        <w:spacing w:after="0"/>
        <w:ind w:left="0"/>
        <w:jc w:val="both"/>
      </w:pPr>
      <w:r>
        <w:rPr>
          <w:rFonts w:ascii="Times New Roman"/>
          <w:b w:val="false"/>
          <w:i w:val="false"/>
          <w:color w:val="000000"/>
          <w:sz w:val="28"/>
        </w:rPr>
        <w:t xml:space="preserve">
      к) в позиции 20.1 в графе 1 слова "Должностное лицо" заменить словом "Лицо"; </w:t>
      </w:r>
    </w:p>
    <w:bookmarkEnd w:id="29"/>
    <w:bookmarkStart w:name="z36" w:id="30"/>
    <w:p>
      <w:pPr>
        <w:spacing w:after="0"/>
        <w:ind w:left="0"/>
        <w:jc w:val="both"/>
      </w:pPr>
      <w:r>
        <w:rPr>
          <w:rFonts w:ascii="Times New Roman"/>
          <w:b w:val="false"/>
          <w:i w:val="false"/>
          <w:color w:val="000000"/>
          <w:sz w:val="28"/>
        </w:rPr>
        <w:t xml:space="preserve">
      л) в позиции 20.2.1 в графе 10 слова "двухбуквенное значение кода страны выдавшей" заменить словами "значение двухбуквенного кода страны, выдавшей".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