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02ca" w14:textId="71202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формирования и ведения единого реестра уполномоченных органов (организаций) 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марта 2020 года № 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единого реестра уполномоченных органов (организаций) 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техники, утвержденный Решением Коллегии Евразийской экономической комиссии от 1 сентября 2015 г. № 112,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"г"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"г) в отношении организации – изготовителя самоходных машин и других видов техники, которые не предназначены для эксплуатации на автомобильных дорогах общего пользования или передвижение которых по автомобильным дорогам общего пользования допускается при оформлении в соответствии с законодательством государства-члена специального разрешения, которые не являются объектом технического регулирования технических регламентов Таможенного союза "О безопасности машин и оборудования" (TP ТС 010/2011), "О безопасности колесных транспортных средств" (TP ТС 018/2011) и "О безопасности сельскохозяйственных и лесохозяйственных тракторов и прицепов к ним" (TP ТС 031/2012) (самоходные наземные аэродромные машины, самоходные лесные мульчеры, ратраки, внедорожные большегрузные транспортные средства), – сведения, предусмотренные абзацами вторым и третьим подпункта "в" настоящего пункта (до 31 декабря 2021 г. включительно).";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подпункта "а" и абзаце первом подпункта "б" слова ", физического лица" исключить;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"в"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"в) для организации – изготовителя самоходных машин и других видов техники, которые не предназначены для эксплуатации на автомобильных дорогах общего пользования или передвижение которых по автомобильным дорогам общего пользования допускается при оформлении в соответствии с законодательством государства-члена специального разрешения, которые не являются объектом технического регулирования технических регламентов Таможенного союза "О безопасности машин и оборудования" (TP ТС 010/2011), "О безопасности колесных транспортных средств" (TP ТС 018/2011) и "О безопасности сельскохозяйственных и лесохозяйственных тракторов и прицепов к ним" (TP ТС 031/2012) (самоходные наземные аэродромные машины, самоходные лесные мульчеры, ратраки, внедорожные большегрузные транспортные средства), – критерии, предусмотренные абзацами вторым и четвертым подпункта "б" настоящего пункта (до 31 декабря 2021 г. включительно).".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вступает в силу по истечении 10 календарных дней с даты его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