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426b" w14:textId="bd14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форму отчета уполномоченного органа государства – члена Евразийского экономического союза о зачислении и распределении сумм ввозных таможенных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2020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государства – члена Евразийского экономического союза о зачислении и распределении сумм ввозных таможенных пошлин, утвержденную Решением Коллегии Евразийской экономической комиссии от 2 декабря 2014 г. № 222, изменение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(2), подписанного 1 октября 2019 г., но не ранее чем по истечении 30 календарных дней с даты официального опубликования настоящего Решения.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г. № 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вносимое в форму отчета уполномоченного органа государства – члена Евразийского экономического союза о зачислении и распределении сумм ввозных таможенных пошлин 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государства – члена Евразийского экономического союза о зачислении и распределении сумм ввозных таможенных пошлин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г.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г. № 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уполномоченного органа государства – члена Евразийского экономического союза)</w:t>
      </w:r>
      <w:r>
        <w:br/>
      </w:r>
      <w:r>
        <w:rPr>
          <w:rFonts w:ascii="Times New Roman"/>
          <w:b/>
          <w:i w:val="false"/>
          <w:color w:val="000000"/>
        </w:rPr>
        <w:t>о зачислении и распределении сумм 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за "_____" ____________ 20___ г.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6"/>
        <w:gridCol w:w="982"/>
        <w:gridCol w:w="982"/>
      </w:tblGrid>
      <w:tr>
        <w:trPr>
          <w:trHeight w:val="30" w:hRule="atLeast"/>
        </w:trPr>
        <w:tc>
          <w:tcPr>
            <w:tcW w:w="10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день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 национальной валюте государства-члена</w:t>
            </w:r>
          </w:p>
          <w:bookmarkEnd w:id="5"/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Суммы ввозных таможенных пошлин, зачисленные на единый счет уполномоченного органа государства-члена</w:t>
            </w:r>
          </w:p>
          <w:bookmarkEnd w:id="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Суммы исполненных уполномоченным органом государства-члена в отчетном дне зачетов в счет уплаты ввозных таможенных пошлин –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авансовых платежей </w:t>
            </w:r>
          </w:p>
          <w:bookmarkEnd w:id="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вывозных таможенных пошлин, налогов и сборов, а также иных платежей </w:t>
            </w:r>
          </w:p>
          <w:bookmarkEnd w:id="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Суммы ввозных таможенных пошлин, зачтенные в отчетном дне в счет погашения задолженности</w:t>
            </w:r>
          </w:p>
          <w:bookmarkEnd w:id="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Суммы ввозных таможенных пошлин, зачтенные в текущем дне в счет погашения задолженности</w:t>
            </w:r>
          </w:p>
          <w:bookmarkEnd w:id="1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Суммы ввозных таможенных пошлин, возвращенные в отчетном дне</w:t>
            </w:r>
          </w:p>
          <w:bookmarkEnd w:id="1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Суммы ввозных таможенных пошлин, подлежащие возврату в текущем дне</w:t>
            </w:r>
          </w:p>
          <w:bookmarkEnd w:id="1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Суммы возврата ввозных таможенных пошлин, не принятые национальным (центральным) банком государства-члена к исполнению в отчетном дне</w:t>
            </w:r>
          </w:p>
          <w:bookmarkEnd w:id="1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Суммы ввозных таможенных пошлин, подлежащие распределению между государствами-членами, –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в бюджет Республики Армения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в бюджет Республики Беларусь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в бюджет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в бюджет Кыргызской Республики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в бюджет Российской Федерации</w:t>
            </w:r>
          </w:p>
          <w:bookmarkEnd w:id="1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Суммы распределенных ввозных таможенных пошлин, перечисленные на счета в иностранной валюте других государств-членов, – всего</w:t>
            </w:r>
          </w:p>
          <w:bookmarkEnd w:id="1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числе*:</w:t>
            </w:r>
          </w:p>
          <w:bookmarkEnd w:id="1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Республики Армения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Республики Беларусь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Кыргызской Республики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Российской Федерации</w:t>
            </w:r>
          </w:p>
          <w:bookmarkEnd w:id="1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Суммы поступлений в бюджет государства-члена доходов от распределения ввозных таможенных пошлин, перечисленные с единого счета уполномоченного органа этого государства-члена</w:t>
            </w:r>
          </w:p>
          <w:bookmarkEnd w:id="1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Суммы распределенных ввозных таможенных пошлин, перечисление которых на счета в иностранной валюте других государств-членов приостановлено, – всего</w:t>
            </w:r>
          </w:p>
          <w:bookmarkEnd w:id="1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числе*:</w:t>
            </w:r>
          </w:p>
          <w:bookmarkEnd w:id="2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Республики Армения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Республики Беларусь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Кыргызской Республики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Российской Федерации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 национальных валютах других государств-членов*</w:t>
            </w:r>
          </w:p>
          <w:bookmarkEnd w:id="21"/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Суммы поступлений на счета в иностранной валюте уполномоченного органа государства-члена:</w:t>
            </w:r>
          </w:p>
          <w:bookmarkEnd w:id="2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от Республики Армения, драм – всего</w:t>
            </w:r>
          </w:p>
          <w:bookmarkEnd w:id="2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12.1.1. доходы от распределения ввозных таможенных пошлин, поступившие на счета в иностранной валюте уполномоченного органа государства-члена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от Республики Беларусь, белорусский рубль – всего</w:t>
            </w:r>
          </w:p>
          <w:bookmarkEnd w:id="2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доходы от распределения ввозных таможенных пошлин, поступившие на счета в иностранной валюте уполномоченного органа государства-члена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от Республики Казахстан, тенге – всего</w:t>
            </w:r>
          </w:p>
          <w:bookmarkEnd w:id="2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12.3.1. доходы от распределения ввозных таможенных пошлин, поступившие на счета в иностранной валюте уполномоченного органа государства-члена</w:t>
            </w:r>
          </w:p>
          <w:bookmarkEnd w:id="3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  <w:bookmarkEnd w:id="3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от Кыргызской Республики, сом – всего</w:t>
            </w:r>
          </w:p>
          <w:bookmarkEnd w:id="3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12.4.1. доходы от распределения ввозных таможенных пошлин, поступившие на счета в иностранной валюте уполномоченного органа государства-члена</w:t>
            </w:r>
          </w:p>
          <w:bookmarkEnd w:id="3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  <w:bookmarkEnd w:id="3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от Российской Федерации, российский рубль – всего</w:t>
            </w:r>
          </w:p>
          <w:bookmarkEnd w:id="3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12.5.1. доходы от распределения ввозных таможенных пошлин, поступившие на счета в иностранной валюте уполномоченного органа государства-члена</w:t>
            </w:r>
          </w:p>
          <w:bookmarkEnd w:id="3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2"/>
        <w:gridCol w:w="5517"/>
        <w:gridCol w:w="5761"/>
      </w:tblGrid>
      <w:tr>
        <w:trPr>
          <w:trHeight w:val="30" w:hRule="atLeast"/>
        </w:trPr>
        <w:tc>
          <w:tcPr>
            <w:tcW w:w="1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предыдущего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"__"__________20__г.</w:t>
            </w:r>
          </w:p>
        </w:tc>
      </w:tr>
      <w:tr>
        <w:trPr>
          <w:trHeight w:val="30" w:hRule="atLeast"/>
        </w:trPr>
        <w:tc>
          <w:tcPr>
            <w:tcW w:w="1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государства-члена (уполномоченное лицо)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(подпись)</w:t>
            </w:r>
          </w:p>
          <w:bookmarkEnd w:id="42"/>
        </w:tc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(Ф.И.О.)</w:t>
            </w:r>
          </w:p>
        </w:tc>
      </w:tr>
      <w:tr>
        <w:trPr>
          <w:trHeight w:val="30" w:hRule="atLeast"/>
        </w:trPr>
        <w:tc>
          <w:tcPr>
            <w:tcW w:w="1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(Ф.И.О.)</w:t>
            </w:r>
          </w:p>
          <w:bookmarkEnd w:id="43"/>
        </w:tc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(номер телефона)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*Не заполняется в отношении государства-члена, уполномоченным органом которого подготовлен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**Протокол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