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4ab2" w14:textId="9334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пошлины, уплачиваемой хозяйствующими субъектами при обращении в Суд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11 декабря 2020 года № 25.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 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85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2021 год размер пошлины, уплачиваемой хозяйствующими субъектами при обращении в Суд Евразийского экономического союза, в размере 47 846 российских рублей в соответствии с прогнозируемым при подготовке проекта бюджета Евразийского экономического союза на 2021 год индексом роста потребительских цен, составляющим 3,7 процента.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