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db91" w14:textId="7e1d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1 к Регламенту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декабря 2020 года № 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а) дополнить пунктами 137 - 154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"137. Утверждение перечня товаров, в отношении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/>
          <w:i w:val="false"/>
          <w:color w:val="000000"/>
          <w:sz w:val="28"/>
        </w:rPr>
        <w:t xml:space="preserve"> статьи 2 Соглашения о механизме прослеживаемости товаров, ввезенных на таможенную территорию Евразийского экономического союза, от 29 мая 2019 года (далее - Соглашение о механизме прослеживаемости) осуществляется прослеживаемость (далее - товары, подлежащие прослеживаемости).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</w:t>
      </w:r>
      <w:r>
        <w:rPr>
          <w:rFonts w:ascii="Times New Roman"/>
          <w:b/>
          <w:i w:val="false"/>
          <w:color w:val="000000"/>
          <w:sz w:val="28"/>
        </w:rPr>
        <w:t>Определение случаев, когда прослеживаемость в отношении товаров, подлежащих прослеживаемости, не осуществляется.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</w:t>
      </w:r>
      <w:r>
        <w:rPr>
          <w:rFonts w:ascii="Times New Roman"/>
          <w:b/>
          <w:i w:val="false"/>
          <w:color w:val="000000"/>
          <w:sz w:val="28"/>
        </w:rPr>
        <w:t>Определение сроков и порядка включения в национальную систему прослеживаемости сведений о товарах, подлежащих прослеживаемости, фактически находящихся на таможенной территории Союза на дату вступления в силу решения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в отношении которых осуществляется прослеживаемость (внесения изменений в такой перечень), и операциях, связанных с оборотом таких товаров.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</w:t>
      </w:r>
      <w:r>
        <w:rPr>
          <w:rFonts w:ascii="Times New Roman"/>
          <w:b/>
          <w:i w:val="false"/>
          <w:color w:val="000000"/>
          <w:sz w:val="28"/>
        </w:rPr>
        <w:t>Определение случаев включения в национальную систему прослеживаемости сведений о перемещении товаров, подлежащих прослеживаемости, с территории одного государства-члена на территорию другого государства-члена, не связанном с реализацией таких товаров.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</w:t>
      </w:r>
      <w:r>
        <w:rPr>
          <w:rFonts w:ascii="Times New Roman"/>
          <w:b/>
          <w:i w:val="false"/>
          <w:color w:val="000000"/>
          <w:sz w:val="28"/>
        </w:rPr>
        <w:t>Определение порядка включения в национальную систему прослеживаемости сведений о перемещении товаров, подлежащих прослеживаемости, с территории одного государства-члена на территорию другого государства-члена, не связанном с реализацией таких товаров.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</w:t>
      </w:r>
      <w:r>
        <w:rPr>
          <w:rFonts w:ascii="Times New Roman"/>
          <w:b/>
          <w:i w:val="false"/>
          <w:color w:val="000000"/>
          <w:sz w:val="28"/>
        </w:rPr>
        <w:t xml:space="preserve">Определение сроков включения в национальную систему прослеживаемости сведений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пункта 1 статьи 5 Соглашения о механизме прослеживаемости.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</w:t>
      </w:r>
      <w:r>
        <w:rPr>
          <w:rFonts w:ascii="Times New Roman"/>
          <w:b/>
          <w:i w:val="false"/>
          <w:color w:val="000000"/>
          <w:sz w:val="28"/>
        </w:rPr>
        <w:t>Определение сроков включения в национальную систему прослеживаемости государства-члена сведений из национальных систем прослеживаемости других государств-членов.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</w:t>
      </w:r>
      <w:r>
        <w:rPr>
          <w:rFonts w:ascii="Times New Roman"/>
          <w:b/>
          <w:i w:val="false"/>
          <w:color w:val="000000"/>
          <w:sz w:val="28"/>
        </w:rPr>
        <w:t>Определение срока хранения в национальных системах прослеживаемости сведений о товарах, подлежащих прослеживаемости, и операциях, связанных с оборотом таких товаров.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</w:t>
      </w:r>
      <w:r>
        <w:rPr>
          <w:rFonts w:ascii="Times New Roman"/>
          <w:b/>
          <w:i w:val="false"/>
          <w:color w:val="000000"/>
          <w:sz w:val="28"/>
        </w:rPr>
        <w:t xml:space="preserve">Определение в отношении отдельных категорий товаров, подлежащих прослеживаемости, иного, менее продолжительного срока прекращения прослеживаемости, чем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/>
          <w:i w:val="false"/>
          <w:color w:val="000000"/>
          <w:sz w:val="28"/>
        </w:rPr>
        <w:t xml:space="preserve"> статьи 6 Соглашения о механизме прослеживаемости.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</w:t>
      </w:r>
      <w:r>
        <w:rPr>
          <w:rFonts w:ascii="Times New Roman"/>
          <w:b/>
          <w:i w:val="false"/>
          <w:color w:val="000000"/>
          <w:sz w:val="28"/>
        </w:rPr>
        <w:t xml:space="preserve">Определение случаев, когда до истечения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/>
          <w:i w:val="false"/>
          <w:color w:val="000000"/>
          <w:sz w:val="28"/>
        </w:rPr>
        <w:t xml:space="preserve"> статьи 6 Соглашения о механизме прослеживаемости или определенного Комиссией в соответствии с пунктом 1 этой статьи, прослеживаемость прекращается, и сроков прекращения прослеживаемости в этих случаях.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</w:t>
      </w:r>
      <w:r>
        <w:rPr>
          <w:rFonts w:ascii="Times New Roman"/>
          <w:b/>
          <w:i w:val="false"/>
          <w:color w:val="000000"/>
          <w:sz w:val="28"/>
        </w:rPr>
        <w:t>Определение случаев, когда лица, осуществляющие оборот товаров, подлежащих прослеживаемости, не обязаны оформлять сопроводительные документы в виде электронных документов.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</w:t>
      </w:r>
      <w:r>
        <w:rPr>
          <w:rFonts w:ascii="Times New Roman"/>
          <w:b/>
          <w:i w:val="false"/>
          <w:color w:val="000000"/>
          <w:sz w:val="28"/>
        </w:rPr>
        <w:t xml:space="preserve">Определение состава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/>
          <w:i w:val="false"/>
          <w:color w:val="000000"/>
          <w:sz w:val="28"/>
        </w:rPr>
        <w:t xml:space="preserve"> статьи 8 Соглашения о механизме прослеживаемости, отличного от состава,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/>
          <w:i w:val="false"/>
          <w:color w:val="000000"/>
          <w:sz w:val="28"/>
        </w:rPr>
        <w:t xml:space="preserve"> указанной статьи.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</w:t>
      </w:r>
      <w:r>
        <w:rPr>
          <w:rFonts w:ascii="Times New Roman"/>
          <w:b/>
          <w:i w:val="false"/>
          <w:color w:val="000000"/>
          <w:sz w:val="28"/>
        </w:rPr>
        <w:t>Определение порядка направления и исполнения запросов о предоставлении содержащихся в национальных системах прослеживаемости сведений об операциях, связанных с оборотом товаров, подлежащих прослеживаемости, предшествующих перемещению таких товаров с территории одного государства-члена на территорию другого государства-члена, а также состава предоставляемых сведений и сроков их предоставления.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</w:t>
      </w:r>
      <w:r>
        <w:rPr>
          <w:rFonts w:ascii="Times New Roman"/>
          <w:b/>
          <w:i w:val="false"/>
          <w:color w:val="000000"/>
          <w:sz w:val="28"/>
        </w:rPr>
        <w:t>Определение особенностей прослеживаемости и (или) функционирования механизма прослеживаемости для случаев, когда таможенное декларирование товаров, подлежащих прослеживаемости, осуществлялось с особенностями, определенными Таможенным кодексом Союза и (или) Комиссией и законодательством государств- членов в соответствии с Таможенным кодексом Союза, либо такие товары выпускались до подачи декларации на товары в соответствии с Таможенным кодексом Союза.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</w:t>
      </w:r>
      <w:r>
        <w:rPr>
          <w:rFonts w:ascii="Times New Roman"/>
          <w:b/>
          <w:i w:val="false"/>
          <w:color w:val="000000"/>
          <w:sz w:val="28"/>
        </w:rPr>
        <w:t>Определение случаев, когда допускается перемещение товаров, подлежащих прослеживаемости, с территории одного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государства-члена на территорию другого государства-члена при отсутствии в национальной системе прослеживаемости сведений об операциях, связанных с таким перемещением.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</w:t>
      </w:r>
      <w:r>
        <w:rPr>
          <w:rFonts w:ascii="Times New Roman"/>
          <w:b/>
          <w:i w:val="false"/>
          <w:color w:val="000000"/>
          <w:sz w:val="28"/>
        </w:rPr>
        <w:t xml:space="preserve">Определение порядка подтверждения правомерности перемещения товаров, подлежащих прослеживаемости, с территории одного государства-члена на территорию другого государства-члена в случае отсутствия в национальной системе прослеживаемости сведений об операциях, связанных с таким перемещением, в связи с неисправностью информационных систем, вызванной техническими сбоями, нарушениями в работе средств связи (телекоммуникационных сетей и информационно-телекоммуникационной сети "Интернет"), отключением электроэнергии, а также в иных случаях, определенных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/>
          <w:i w:val="false"/>
          <w:color w:val="000000"/>
          <w:sz w:val="28"/>
        </w:rPr>
        <w:t xml:space="preserve"> статьи 11 Соглашения о механизме прослеживаемости.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</w:t>
      </w:r>
      <w:r>
        <w:rPr>
          <w:rFonts w:ascii="Times New Roman"/>
          <w:b/>
          <w:i w:val="false"/>
          <w:color w:val="000000"/>
          <w:sz w:val="28"/>
        </w:rPr>
        <w:t>Определение порядка информирования уполномоченных органов государств-членов о неисправности информационных систем, вызванных техническими сбоями, нарушениями в работе средств связи (телекоммуникационных сетей и информационнотелекоммуникационной сети "Интернет"), отключением электроэнергии.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</w:t>
      </w:r>
      <w:r>
        <w:rPr>
          <w:rFonts w:ascii="Times New Roman"/>
          <w:b/>
          <w:i w:val="false"/>
          <w:color w:val="000000"/>
          <w:sz w:val="28"/>
        </w:rPr>
        <w:t>Определение сроков и условий реализации пилотного проекта по внедрению механизма прослеживаемости.";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б) дополнить пунктами 155 - 157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"155. Утверждение порядка вынесения предостережений.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156. Утверждение порядка подготовки отчета о состоянии конкуренции на трансграничных рынках и мерах, принимаемых по пресечению нарушений общих правил конкуренции на них.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157. Утверждение порядка 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3-5 статьи 76 Договора о Союзе, а равно об участии в нем.".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>Отменить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/>
          <w:i w:val="false"/>
          <w:color w:val="000000"/>
          <w:sz w:val="28"/>
        </w:rPr>
        <w:t xml:space="preserve"> Высшего Евразийского экономического совета от 1 октября 2019 г. № 22 "О внесении изменения в приложение № 1 к Регламенту работы Евразийской экономической комиссии"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/>
          <w:i w:val="false"/>
          <w:color w:val="000000"/>
          <w:sz w:val="28"/>
        </w:rPr>
        <w:t xml:space="preserve"> Высшего Евразийского экономического совета от 20 декабря 2019 г. № 30 "О внесении изменения в Регламент работы Евразийской экономической комиссии".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/>
          <w:i w:val="false"/>
          <w:color w:val="000000"/>
          <w:sz w:val="28"/>
        </w:rPr>
        <w:t xml:space="preserve">Настоящее Решение вступает в силу с даты его официального опубликования, за исключением подпунктов "а" и "б"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Подпункт "а" пункта 1 настоящего Решения вступает в силу с даты официального опубликования настоящего Решения,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/>
          <w:i w:val="false"/>
          <w:color w:val="000000"/>
          <w:sz w:val="28"/>
        </w:rPr>
        <w:t xml:space="preserve"> о механизме прослеживаемости товаров, ввезенных на таможенную территорию Евразийского экономического союза, от 29 мая 2019 года.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Подпункт "б" пункта 1 настоящего Решения вступает в силу с даты официального опубликования настоящего Решения,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года, подписанного 1 октября 2019 г., предусматривающего внесение изменений в ряд статей (включая статью 74) Договора о Евразийском экономическом союзе от 29 мая 2014 года и приложений к нему.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