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2274" w14:textId="b2b2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транспортных систем государств – членов Евразийского экономического союза с учетом наилучших международных практик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24 декабря 2019 года № 43.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пунктом 1 и подпунктом "б" пункта 3 плана мероприятий ("дорожной карты") по реализации Основных направлений и этапов реализации скоординированной (согласованной) транспортной политики государств – членов Евразийского экономического союза на 2018 – 2020 годы,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25 октября 2017 г. № 3,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применение в рамках Евразийского экономического союза (далее – Союз) наилучших международных практик по формированию рынка транспортных услуг будет способствовать эффективной реализации государствами – членами Союза (далее – государства-члены) задач и приоритетов скоординированной (согласованной) транспортной политики,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подчеркивая важность углубления интеграции транспортных систем государств-членов в международную транспортную систему, принятия согласованных мер по обеспечению общих преимуществ в сфере транспорта, в том числе содействия более полной реализации географических преимуществ Союза при осуществлении транзитных транспортно-экономических связей между Европой и Азией,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результатах анализа мирового рынка транспортных услуг и участия государств-членов в международных договорах в сфере транспорта и инфраструктуры,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государствам-членам с даты опубликования настоящей Рекомендации на официальном сайте Союза: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 разработке проектов актов органов Союза в сфере транспорта принимать во внимание: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разрабатываемые и принимаемые международными организациями и интеграционными объединениями, в том числе ООН и ее региональными комиссиями, специализированными учреждениями, СНГ, Шанхайской организацией сотрудничества, международными транспортными организациями;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акты Европейского парламента, Совета Европейского союза, Европейской комиссии, регламентирующие деятельность автомобильного, водного, железнодорожного, воздушного транспорта, условия либерализации рынка услуг в сфере транспорта, развитие смешанных перевозок и мультимодальной транспортно-логистической инфраструктуры, вопросы транспортного контроля, создания безбарьерной среды для бизнеса и устранения препятствий, а также программные и стратегические документы по реализации транспортной политики Европейского союза;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аналитических докладов, размещенных на официальном сайте Союза.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Проработать вопросы, касающиеся: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целесообразности унификации законодательства государств-членов, регламентирующего вопросы функционирования отдельных видов транспорта, для достижения целей Союза,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целесообразности заключения международных договоров в рамках Союза, регулирующих вопросы транспортного сообщения между государствами-членами;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выработки скоординированной позиции при применении международных договоров, перечень которых размещен на официальном сайте Союза, в целях учета интересов государств-членов в международных организациях;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упрощения и оптимизации контроля перевозок, в том числе путем создания механизма прослеживаемости перемещения товаров.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