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2274" w14:textId="b2b2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транспортных систем государств – членов Евразийского экономического союза с учетом наилучших международных практик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декабря 2019 года № 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1 и подпунктом "б" пункта 3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 – 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 г. № 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применение в рамках Евразийского экономического союза (далее – Союз) наилучших международных практик по формированию рынка транспортных услуг будет способствовать эффективной реализации государствами – членами Союза (далее – государства-члены) задач и приоритетов скоординированной (согласованной) транспортной политики,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углубления интеграции транспортных систем государств-членов в международную транспортную систему, принятия согласованных мер по обеспечению общих преимуществ в сфере транспорта, в том числе содействия более полной реализации географических преимуществ Союза при осуществлении транзитных транспортно-экономических связей между Европой и Азией,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результатах анализа мирового рынка транспортных услуг и участия государств-членов в международных договорах в сфере транспорта и инфраструктуры,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 разработке проектов актов органов Союза в сфере транспорта принимать во внимание: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разрабатываемые и принимаемые международными организациями и интеграционными объединениями, в том числе ООН и ее региональными комиссиями, специализированными учреждениями, СНГ, Шанхайской организацией сотрудничества, международными транспортными организациями;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акты Европейского парламента, Совета Европейского союза, Европейской комиссии, регламентирующие деятельность автомобильного, водного, железнодорожного, воздушного транспорта, условия либерализации рынка услуг в сфере транспорта, развитие смешанных перевозок и мультимодальной транспортно-логистической инфраструктуры, вопросы транспортного контроля, создания безбарьерной среды для бизнеса и устранения препятствий, а также программные и стратегические документы по реализации транспортной политики Европейского союза;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аналитических докладов, размещенных на официальном сайте Союза.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Проработать вопросы, касающиеся: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целесообразности унификации законодательства государств-членов, регламентирующего вопросы функционирования отдельных видов транспорта, для достижения целей Союза,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заключения международных договоров в рамках Союза, регулирующих вопросы транспортного сообщения между государствами-членами;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выработки скоординированной позиции при применении международных договоров, перечень которых размещен на официальном сайте Союза, в целях учета интересов государств-членов в международных организациях;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 и оптимизации контроля перевозок, в том числе путем создания механизма прослеживаемости перемещения товаров.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