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f4ef" w14:textId="7c6f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подходах по обеспечению справедливой и добросовестной конкуренции и расширению воздушного сообщения при поэтапном формировании общего рынка услуг воздушного транспорта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26 ноября 2019 года № 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во исполнение пунктов 12, 13, 15 и 30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в части воздушного транспорта на 2018 – 2020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14 августа 2017 г. № 2, с целью поэтапного формирования общего рынка услуг воздушного транспорта Евразийского экономического союза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(далее соответственно – государства-члены, Союз) с даты опубликования настоящей Рекомендации на официальном сайте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Обеспечить до 2025 года одновременную реализацию следующих мер: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части обеспечения справедливой и добросовестной конкуренции: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взимании сборов за аэронавигационное и аэропортовое обслуживание применять для эксплуатантов воздушных судов других государств-членов, выполняющих регулярные международные воздушные сообщения между государствами-членами, те же тарифные ставки, что и для своих эксплуатантов;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взаиморасчетах в национальных валютах или валютах третьих стран за аэронавигационное и аэропортовое обслуживание применять для эксплуатантов воздушных судов других государств-членов официальные курсы, установленные национальными (центральными) банками государств-членов на соответствующие календарные даты;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транзитных полетах воздушных судов других государств-членов не допускать взимания дополнительных платежей (компенсационных выплат) за использование своего воздушного пространства;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свое законодательство положения, в соответствии с которыми оказание услуг аэропортов и аэронавигации потребителям других государств-членов осуществляется на условиях не менее благоприятных, чем условия, на которых данные услуги предоставляются своим потребителям;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части расширения воздушного сообщения: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поэтапное снятие существующих ограничений при выполнении регулярных международных воздушных сообщений между государствами-членами по: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договорным линиям по установленным маршрутам (пунктам назначения);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количеству авиапредприятий, назначенных и уполномоченных для эксплуатации договорных линий по установленным маршрутам (перевозчиков);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коммерческой загрузке воздушных судов на маршруте или части маршрута (емкости воздушных судов);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количеству полетов, совершаемых воздушным судном на протяжении определенного периода на маршруте или части маршрута (частоте выполнения полетов);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транзитным пролетам перевозчиков одного государства-члена через воздушное пространство другого государства-члена.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Направлять при необходимости в Евразийскую экономическую комиссию предложения по реализации мер, предусмотренных настоящей Рекомендацией, и информацию о снятии ограничений.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