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705f3" w14:textId="94705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Методике оценки инклюзивности экономик государств – членов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14 октября 2019 года № 32.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пунктами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 в целях обеспечения инклюзивного экономического роста государств – членов Евразийского экономического союза (далее – государства-члены),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подчеркивая необходимость повышения жизненного уровня населения государств-членов,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важность создания условий для стабильного развития экономик государств-членов,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обязательства всех государств-членов по достижению Целей в области устойчивого развития Организации Объединенных Наций,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рекомендует государствам-членам с даты опубликования настоящей Рекомендации на официальном сайте Евразийского экономического союза: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 мер социально-экономической политики и оценке их результатов использовать Методику оценки инклюзивности экономик государств – членов Евразийского экономического союза, размещенную на официальном сайте Евразийского экономического союза по адресу: http://eec.eaeunion.org/ru/act/integr_i_makroec/ dep_makroec_pol/ConsultKomitet/Documents/Методика оценки инклюзивности экономик.pdf;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с Евразийской экономической комиссией осуществлять оценку степени инклюзивности экономик государств-членов и при необходимости разрабатывать меры для ее повышения.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