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05f3" w14:textId="9470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Методике оценки инклюзивности экономик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октября 2019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обеспечения инклюзивного экономического роста государств – членов Евразийского экономического союза (далее – государства-члены),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необходимость повышения жизненного уровня населения государств-членов,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создания условий для стабильного развития экономик государств-членов,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обязательства всех государств-членов по достижению Целей в области устойчивого развития Организации Объединенных Наций,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мер социально-экономической политики и оценке их результатов использовать Методику оценки инклюзивности экономик государств – членов Евразийского экономического союза, размещенную на официальном сайте Евразийского экономического союза по адресу: http://eec.eaeunion.org/ru/act/integr_i_makroec/ dep_makroec_pol/ConsultKomitet/Documents/Методика оценки инклюзивности экономик.pdf;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Евразийской экономической комиссией осуществлять оценку степени инклюзивности экономик государств-членов и при необходимости разрабатывать меры для ее повышения.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