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4799f" w14:textId="d2479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Правилах составления группировочных наименований лекарственных препаратов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23 апреля 2019 года № 13.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30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Договора о Евразийском экономическом союзе от 29 мая 2014 года и пунктом 3 статьи 3 Соглашения о единых принципах и правилах обращения лекарственных средств в рамках Евразийского экономического союза от 23 декабря 2014 года, а также в целях устранения различий в требованиях, предъявляемых к составлению группировочных наименований лекарственных препаратов при их регистрации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регистрации и экспертизы лекарственных средств для медицинского применения, утвержденным Решением Совета Евразийской экономической комиссии от 3 ноября 2016 г. № 78, перерегистрации и приведении регистрационных досье в соответствие с указанными Правилами,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рекомендует государствам – членам Евразийского экономического союза по истечении 6 месяцев с даты опубликования настоящей Рекомендации на официальном сайте Евразийского экономического союза при составлении группировочных наименований лекарственных препаратов применять Правила составления группировочных наименований лекарственных препаратов согласно приложению.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Рекомендации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апреля 2019 г. № 13</w:t>
            </w:r>
          </w:p>
        </w:tc>
      </w:tr>
    </w:tbl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составления группировочных наименований лекарственных препаратов</w:t>
      </w:r>
    </w:p>
    <w:bookmarkEnd w:id="2"/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Общие положения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разработаны в целях идентификации действующих веществ и лекарственных препаратов для их правильного выбора и назначения медицинскими работниками, отпуска из аптек фармацевтическими работниками и приема пациентами, а также в целях взаимодействия представителей научного сообщества и специалистов государств – членов Евразийского экономического союза (далее – государства-члены) в сфере здравоохранения и обращения лекарственных средств и содержат порядок составления группировочных наименований лекарственных препаратов.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целей настоящих Правил под группировочным наименованием понимается наименование лекарственного препарата, не имеющего международного непатентованного наименования, или комбинации лекарственных препаратов, используемое в целях объединения их в группу под одним наименованием исходя из одинакового состава действующих веществ.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Группировочное наименование применяется при отсутствии международного непатентованного наименования, рекомендованного Всемирной организацией здравоохранения для данного действующего вещества.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Группировочное наименование необходимо для обеспечения применения субъектами обращения на территории Евразийского экономического союза лекарственных средств универсальных наименований, позволяющих идентифицировать лекарственный препарат.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Группировочные наименования следует формировать отличающимися по звучанию и написанию во избежание путаницы с другими широко используемыми наименованиями лекарственных препаратов.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Присвоение уполномоченным органом государства-члена наименованию действующего вещества лекарственного препарата статуса группировочного наименования означает, что это наименование не может быть зарегистрировано в качестве объекта интеллектуальной собственности и относится к группе непатентованных наименований действующих веществ лекарственных препаратов. Исходя из этого группировочные наименования могут использоваться без каких-либо ограничений для идентификации лекарственных препаратов, а также в качестве наименований воспроизведенных лекарственных препаратов.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Лекарственному препарату присваивается такое же группировочное наименование, что и действующему веществу, из которого он производится. Если действующее вещество представляет собой производное активной и неактивной части (например, гидрат, соль, сложный эфир и т. д.), для точного отражения его химической структуры (например, при указании его наименования в составе лекарственного препарата или при использовании в торговом наименовании лекарственного препарата) применяется модифицированное группировочное наименование, состоящее из группировочного наименования и наименования неактивной части действующего вещества.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Группировочное наименование вновь регистрируемого лекарственного препарата не должно фонетически и графически повторять наименование уже зарегистрированного лекарственного препарата, отличающегося по составу и действию.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Наименования, имеющие статус группировочных наименований, выбираются оператором соответствующего справочника нормативно-справочной информации Евразийского экономического союза.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Группировочные наименования выбираются как для определенных веществ, которые могут быть недвусмысленно охарактеризованы химическим наименованием (или формулой), так и для смесей веществ, компоненты которых полностью не охарактеризованы и не включены в группировочные наименования по отдельности.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Группировочные наименования присваиваются также лекарственному растительному сырью, растительным фармацевтическим субстанциям (препаратам на основе лекарственного растительного сырья) и лекарственным растительным препаратам, а также веществам, которые использовались в течение длительного периода в медицинских целях под хорошо известными наименованиями (например, алкалоиды (кодеин)) или под тривиальными химическими наименованиями (например, молочная кислота). Также могут использоваться сокращения на основе химических наименований за счет исключения локантов, дефисов и т. д.</w:t>
      </w:r>
    </w:p>
    <w:bookmarkEnd w:id="14"/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Общие подходы к составлению группировочных наименований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Для группировочных наименований следует подбирать характерное звучание и написание. При выборе группировочных наименований для лекарственных препаратов, содержащих комбинацию действующих веществ, необходимо учитывать следующие особенности: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если в состав лекарственного препарата входят 2 и более действующих вещества, то группировочное наименование представляет собой перечисление международных непатентованных наименований и (или) группировочных наименований действующих веществ в алфавитном порядке через знак "+";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если фармакологическая активность одного или нескольких действующих веществ напрямую не связана с фармакологическим эффектом лекарственного препарата, а является вспомогательной (например, уменьшает нежелательные реакции другого действующего вещества), то наименование такого действующего вещества (действующих веществ) указывается в конце группировочных наименований в квадратных скобках вне зависимости от алфавитного порядка.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Группировочные наименования следует формировать отличающимися от существующих торговых наименований настолько, чтобы исключить возможность нарушения авторских и иных прав. В связи с этим для действующих веществ, получаемых путем химического синтеза, рекомендуется брать за основу химическое наименование соединения.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Группировочные наименования веществ, используемых в виде солей, применяются к активному основанию или кислоте. Группировочные наименования разных солей или эфиров одного и того же активного вещества (модифицированные группировочные наименования) отличаются только от наименования неактивной кислоты или основания.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Для веществ, содержащих четвертичное соединение аммония, катион и анион следует указывать как отдельные компоненты четвертичной соли, а не как соли амина.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Следует отказаться от использования отдельных букв или цифр, а также дефиса. Из химического наименования желательно исключить локанты и скобки.</w:t>
      </w:r>
    </w:p>
    <w:bookmarkEnd w:id="22"/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Стереоизомеры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Если известна стереохимическая структура вещества, эта информация указывается в химическом наименовании (наименованиях) вещества и служит для идентификации этого вещества. Группировочное наименование может идентифицировать рацемическую смесь, левовращающие или правовращающие изомеры. Если нужно составить группировочное наименование для различных энантиомеров или рацемических смесей, к существующему группировочному наименованию следует добавить следующие префиксы: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 для левовращающих изомеров – префикс </w:t>
      </w:r>
      <w:r>
        <w:rPr>
          <w:rFonts w:ascii="Times New Roman"/>
          <w:b w:val="false"/>
          <w:i/>
          <w:color w:val="000000"/>
          <w:sz w:val="28"/>
        </w:rPr>
        <w:t>лево</w:t>
      </w:r>
      <w:r>
        <w:rPr>
          <w:rFonts w:ascii="Times New Roman"/>
          <w:b w:val="false"/>
          <w:i w:val="false"/>
          <w:color w:val="000000"/>
          <w:sz w:val="28"/>
        </w:rPr>
        <w:t>-;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 для правовращающих изомеров – префикс </w:t>
      </w:r>
      <w:r>
        <w:rPr>
          <w:rFonts w:ascii="Times New Roman"/>
          <w:b w:val="false"/>
          <w:i/>
          <w:color w:val="000000"/>
          <w:sz w:val="28"/>
        </w:rPr>
        <w:t>декс-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 для рацемической смеси – префикс </w:t>
      </w:r>
      <w:r>
        <w:rPr>
          <w:rFonts w:ascii="Times New Roman"/>
          <w:b w:val="false"/>
          <w:i/>
          <w:color w:val="000000"/>
          <w:sz w:val="28"/>
        </w:rPr>
        <w:t>рац</w:t>
      </w:r>
      <w:r>
        <w:rPr>
          <w:rFonts w:ascii="Times New Roman"/>
          <w:b w:val="false"/>
          <w:i w:val="false"/>
          <w:color w:val="000000"/>
          <w:sz w:val="28"/>
        </w:rPr>
        <w:t xml:space="preserve">-. </w:t>
      </w:r>
    </w:p>
    <w:bookmarkEnd w:id="27"/>
    <w:bookmarkStart w:name="z3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 Радиоактивные вещества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Группировочные наименования лекарственных препаратов, содержащих радиоактивные атомы, включают в себя следующие компоненты: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наименование вещества, содержащего радиоактивный атом;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обозначение массового числа изотопа в виде верхнего цифрового индекса перед символом элемента;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символ элемента;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наименование агента-носителя при наличии.</w:t>
      </w:r>
    </w:p>
    <w:bookmarkEnd w:id="33"/>
    <w:bookmarkStart w:name="z4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V. Специфические группы биологических веществ</w:t>
      </w:r>
    </w:p>
    <w:bookmarkEnd w:id="34"/>
    <w:bookmarkStart w:name="z4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Пептиды, гликопептиды, протеины и гликопротеины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Группировочные наименования пептидов (протеинов) включают в себя: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основу для главного вещества, например: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-</w:t>
      </w:r>
      <w:r>
        <w:rPr>
          <w:rFonts w:ascii="Times New Roman"/>
          <w:b w:val="false"/>
          <w:i/>
          <w:color w:val="000000"/>
          <w:sz w:val="28"/>
        </w:rPr>
        <w:t>поэтин</w:t>
      </w:r>
      <w:r>
        <w:rPr>
          <w:rFonts w:ascii="Times New Roman"/>
          <w:b w:val="false"/>
          <w:i w:val="false"/>
          <w:color w:val="000000"/>
          <w:sz w:val="28"/>
        </w:rPr>
        <w:t xml:space="preserve"> (для производных эритропоэтина);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-</w:t>
      </w:r>
      <w:r>
        <w:rPr>
          <w:rFonts w:ascii="Times New Roman"/>
          <w:b w:val="false"/>
          <w:i/>
          <w:color w:val="000000"/>
          <w:sz w:val="28"/>
        </w:rPr>
        <w:t>ирудин</w:t>
      </w:r>
      <w:r>
        <w:rPr>
          <w:rFonts w:ascii="Times New Roman"/>
          <w:b w:val="false"/>
          <w:i w:val="false"/>
          <w:color w:val="000000"/>
          <w:sz w:val="28"/>
        </w:rPr>
        <w:t xml:space="preserve"> (для производных гирудина);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-</w:t>
      </w:r>
      <w:r>
        <w:rPr>
          <w:rFonts w:ascii="Times New Roman"/>
          <w:b w:val="false"/>
          <w:i/>
          <w:color w:val="000000"/>
          <w:sz w:val="28"/>
        </w:rPr>
        <w:t>ког</w:t>
      </w:r>
      <w:r>
        <w:rPr>
          <w:rFonts w:ascii="Times New Roman"/>
          <w:b w:val="false"/>
          <w:i w:val="false"/>
          <w:color w:val="000000"/>
          <w:sz w:val="28"/>
        </w:rPr>
        <w:t xml:space="preserve"> (для факторов свертывания крови);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указание на подгруппу путем расширения основы (например,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/>
          <w:color w:val="000000"/>
          <w:sz w:val="28"/>
        </w:rPr>
        <w:t>эптаког</w:t>
      </w:r>
      <w:r>
        <w:rPr>
          <w:rFonts w:ascii="Times New Roman"/>
          <w:b w:val="false"/>
          <w:i/>
          <w:color w:val="000000"/>
          <w:sz w:val="28"/>
        </w:rPr>
        <w:t>, -</w:t>
      </w:r>
      <w:r>
        <w:rPr>
          <w:rFonts w:ascii="Times New Roman"/>
          <w:b w:val="false"/>
          <w:i/>
          <w:color w:val="000000"/>
          <w:sz w:val="28"/>
        </w:rPr>
        <w:t>октоког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случайный префикс (для веществ с различной последовательностью аминокислот);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дополнение в виде буквы греческого алфавита в качестве второй части наименования, состоящего из 2 слов (для гликозилированных веществ с идентичной последовательностью аминокислот, но различными типами гликозилирования).</w:t>
      </w:r>
    </w:p>
    <w:bookmarkEnd w:id="43"/>
    <w:bookmarkStart w:name="z50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Факторы свертывания крови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группировочных наименованиях рекомбинантных факторов свертывания крови используются следующие основы: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(-) </w:t>
      </w:r>
      <w:r>
        <w:rPr>
          <w:rFonts w:ascii="Times New Roman"/>
          <w:b w:val="false"/>
          <w:i/>
          <w:color w:val="000000"/>
          <w:sz w:val="28"/>
        </w:rPr>
        <w:t>ког</w:t>
      </w:r>
      <w:r>
        <w:rPr>
          <w:rFonts w:ascii="Times New Roman"/>
          <w:b w:val="false"/>
          <w:i w:val="false"/>
          <w:color w:val="000000"/>
          <w:sz w:val="28"/>
        </w:rPr>
        <w:t xml:space="preserve"> (для факторов коагуляции крови);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(-) </w:t>
      </w:r>
      <w:r>
        <w:rPr>
          <w:rFonts w:ascii="Times New Roman"/>
          <w:b w:val="false"/>
          <w:i/>
          <w:color w:val="000000"/>
          <w:sz w:val="28"/>
        </w:rPr>
        <w:t>эптаког</w:t>
      </w:r>
      <w:r>
        <w:rPr>
          <w:rFonts w:ascii="Times New Roman"/>
          <w:b w:val="false"/>
          <w:i w:val="false"/>
          <w:color w:val="000000"/>
          <w:sz w:val="28"/>
        </w:rPr>
        <w:t xml:space="preserve"> (для фактора VII);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(-) </w:t>
      </w:r>
      <w:r>
        <w:rPr>
          <w:rFonts w:ascii="Times New Roman"/>
          <w:b w:val="false"/>
          <w:i/>
          <w:color w:val="000000"/>
          <w:sz w:val="28"/>
        </w:rPr>
        <w:t>октоког</w:t>
      </w:r>
      <w:r>
        <w:rPr>
          <w:rFonts w:ascii="Times New Roman"/>
          <w:b w:val="false"/>
          <w:i w:val="false"/>
          <w:color w:val="000000"/>
          <w:sz w:val="28"/>
        </w:rPr>
        <w:t xml:space="preserve"> (для фактора VIII);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(-) </w:t>
      </w:r>
      <w:r>
        <w:rPr>
          <w:rFonts w:ascii="Times New Roman"/>
          <w:b w:val="false"/>
          <w:i/>
          <w:color w:val="000000"/>
          <w:sz w:val="28"/>
        </w:rPr>
        <w:t>нонаког</w:t>
      </w:r>
      <w:r>
        <w:rPr>
          <w:rFonts w:ascii="Times New Roman"/>
          <w:b w:val="false"/>
          <w:i w:val="false"/>
          <w:color w:val="000000"/>
          <w:sz w:val="28"/>
        </w:rPr>
        <w:t xml:space="preserve"> (для фактора IX).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Префикс необходим, если последовательность аминокислот не соответствует природному веществу. Согласно общей стратегии буквы </w:t>
      </w:r>
    </w:p>
    <w:bookmarkEnd w:id="50"/>
    <w:p>
      <w:pPr>
        <w:spacing w:after="0"/>
        <w:ind w:left="0"/>
        <w:jc w:val="both"/>
      </w:pPr>
      <w:r>
        <w:drawing>
          <wp:inline distT="0" distB="0" distL="0" distR="0">
            <wp:extent cx="3048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81000" cy="48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и т. д. добавляются к наименованиям гликопротеинов. Когда требуется дополнительное указание "активированный" (например, для фактора коагуляции крови VIIa), это слово приводится полностью в скобках после наименования.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Колониестимулирующие факторы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группировочных наименованиях колониестимулирующих факторов используются следующие основы: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 общая основа для колониестимулирующих факторов </w:t>
      </w:r>
      <w:r>
        <w:rPr>
          <w:rFonts w:ascii="Times New Roman"/>
          <w:b w:val="false"/>
          <w:i/>
          <w:color w:val="000000"/>
          <w:sz w:val="28"/>
        </w:rPr>
        <w:t>–</w:t>
      </w:r>
      <w:r>
        <w:rPr>
          <w:rFonts w:ascii="Times New Roman"/>
          <w:b w:val="false"/>
          <w:i/>
          <w:color w:val="000000"/>
          <w:sz w:val="28"/>
        </w:rPr>
        <w:t>стим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вспомогательные основы для разных категорий: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-</w:t>
      </w:r>
      <w:r>
        <w:rPr>
          <w:rFonts w:ascii="Times New Roman"/>
          <w:b w:val="false"/>
          <w:i/>
          <w:color w:val="000000"/>
          <w:sz w:val="28"/>
        </w:rPr>
        <w:t>дистим</w:t>
      </w:r>
      <w:r>
        <w:rPr>
          <w:rFonts w:ascii="Times New Roman"/>
          <w:b w:val="false"/>
          <w:i w:val="false"/>
          <w:color w:val="000000"/>
          <w:sz w:val="28"/>
        </w:rPr>
        <w:t xml:space="preserve"> (для сочетания 2 разных типов колониестимулирующих факторов);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-</w:t>
      </w:r>
      <w:r>
        <w:rPr>
          <w:rFonts w:ascii="Times New Roman"/>
          <w:b w:val="false"/>
          <w:i/>
          <w:color w:val="000000"/>
          <w:sz w:val="28"/>
        </w:rPr>
        <w:t>грастим</w:t>
      </w:r>
      <w:r>
        <w:rPr>
          <w:rFonts w:ascii="Times New Roman"/>
          <w:b w:val="false"/>
          <w:i w:val="false"/>
          <w:color w:val="000000"/>
          <w:sz w:val="28"/>
        </w:rPr>
        <w:t xml:space="preserve"> (для вещества c колониестимулирующим фактором гранулоцитов (G-CSF));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-</w:t>
      </w:r>
      <w:r>
        <w:rPr>
          <w:rFonts w:ascii="Times New Roman"/>
          <w:b w:val="false"/>
          <w:i/>
          <w:color w:val="000000"/>
          <w:sz w:val="28"/>
        </w:rPr>
        <w:t>грамостим</w:t>
      </w:r>
      <w:r>
        <w:rPr>
          <w:rFonts w:ascii="Times New Roman"/>
          <w:b w:val="false"/>
          <w:i w:val="false"/>
          <w:color w:val="000000"/>
          <w:sz w:val="28"/>
        </w:rPr>
        <w:t xml:space="preserve"> (для вещества c колониестимулирующим фактором макрофагов гранулоцитов (GМ-CSF));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-мостим</w:t>
      </w:r>
      <w:r>
        <w:rPr>
          <w:rFonts w:ascii="Times New Roman"/>
          <w:b w:val="false"/>
          <w:i w:val="false"/>
          <w:color w:val="000000"/>
          <w:sz w:val="28"/>
        </w:rPr>
        <w:t xml:space="preserve"> (для вещества со стимулирующим фактором макрофагов (M-CSF));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-</w:t>
      </w:r>
      <w:r>
        <w:rPr>
          <w:rFonts w:ascii="Times New Roman"/>
          <w:b w:val="false"/>
          <w:i/>
          <w:color w:val="000000"/>
          <w:sz w:val="28"/>
        </w:rPr>
        <w:t>плестим</w:t>
      </w:r>
      <w:r>
        <w:rPr>
          <w:rFonts w:ascii="Times New Roman"/>
          <w:b w:val="false"/>
          <w:i w:val="false"/>
          <w:color w:val="000000"/>
          <w:sz w:val="28"/>
        </w:rPr>
        <w:t xml:space="preserve"> (для производных и аналогов интерлейкина-3)</w:t>
      </w:r>
      <w:r>
        <w:rPr>
          <w:rFonts w:ascii="Times New Roman"/>
          <w:b w:val="false"/>
          <w:i/>
          <w:color w:val="000000"/>
          <w:sz w:val="28"/>
        </w:rPr>
        <w:t>.</w:t>
      </w:r>
    </w:p>
    <w:bookmarkEnd w:id="59"/>
    <w:bookmarkStart w:name="z66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Ферменты (энзимы)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В группировочных наименованиях ферментов (энзимов) в качестве общей основы используется окончание </w:t>
      </w:r>
      <w:r>
        <w:rPr>
          <w:rFonts w:ascii="Times New Roman"/>
          <w:b w:val="false"/>
          <w:i/>
          <w:color w:val="000000"/>
          <w:sz w:val="28"/>
        </w:rPr>
        <w:t>-аза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. Вспомогательные основы указывают на происхождение вещества. Например, в группировочном наименовании группы активаторов тканевого плазминогена или активаторов плазминогена урокиназного типа к общей основе </w:t>
      </w:r>
      <w:r>
        <w:rPr>
          <w:rFonts w:ascii="Times New Roman"/>
          <w:b w:val="false"/>
          <w:i/>
          <w:color w:val="000000"/>
          <w:sz w:val="28"/>
        </w:rPr>
        <w:t xml:space="preserve">-аза </w:t>
      </w:r>
      <w:r>
        <w:rPr>
          <w:rFonts w:ascii="Times New Roman"/>
          <w:b w:val="false"/>
          <w:i w:val="false"/>
          <w:color w:val="000000"/>
          <w:sz w:val="28"/>
        </w:rPr>
        <w:t>добавляются: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обозначение активности супероксиддисмутазы: -</w:t>
      </w:r>
      <w:r>
        <w:rPr>
          <w:rFonts w:ascii="Times New Roman"/>
          <w:b w:val="false"/>
          <w:i/>
          <w:color w:val="000000"/>
          <w:sz w:val="28"/>
        </w:rPr>
        <w:t>дисмаза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обозначение активности активатора плазминогена тканевого типа: -</w:t>
      </w:r>
      <w:r>
        <w:rPr>
          <w:rFonts w:ascii="Times New Roman"/>
          <w:b w:val="false"/>
          <w:i/>
          <w:color w:val="000000"/>
          <w:sz w:val="28"/>
        </w:rPr>
        <w:t>теплаза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обозначение активности активатора плазминогена указанного типа -</w:t>
      </w:r>
      <w:r>
        <w:rPr>
          <w:rFonts w:ascii="Times New Roman"/>
          <w:b w:val="false"/>
          <w:i/>
          <w:color w:val="000000"/>
          <w:sz w:val="28"/>
        </w:rPr>
        <w:t>уплаза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г) обозначение активности активатора плазминогена в комбинации с другим ферментом: </w:t>
      </w:r>
      <w:r>
        <w:rPr>
          <w:rFonts w:ascii="Times New Roman"/>
          <w:b w:val="false"/>
          <w:i/>
          <w:color w:val="000000"/>
          <w:sz w:val="28"/>
        </w:rPr>
        <w:t>-</w:t>
      </w:r>
      <w:r>
        <w:rPr>
          <w:rFonts w:ascii="Times New Roman"/>
          <w:b w:val="false"/>
          <w:i/>
          <w:color w:val="000000"/>
          <w:sz w:val="28"/>
        </w:rPr>
        <w:t>диплаза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5"/>
    <w:bookmarkStart w:name="z72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Эритропоэтины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В группировочных наименованиях эритропоэтинов используется основа </w:t>
      </w:r>
      <w:r>
        <w:rPr>
          <w:rFonts w:ascii="Times New Roman"/>
          <w:b w:val="false"/>
          <w:i/>
          <w:color w:val="000000"/>
          <w:sz w:val="28"/>
        </w:rPr>
        <w:t>-</w:t>
      </w:r>
      <w:r>
        <w:rPr>
          <w:rFonts w:ascii="Times New Roman"/>
          <w:b w:val="false"/>
          <w:i/>
          <w:color w:val="000000"/>
          <w:sz w:val="28"/>
        </w:rPr>
        <w:t>поэтин</w:t>
      </w:r>
      <w:r>
        <w:rPr>
          <w:rFonts w:ascii="Times New Roman"/>
          <w:b w:val="false"/>
          <w:i w:val="false"/>
          <w:color w:val="000000"/>
          <w:sz w:val="28"/>
        </w:rPr>
        <w:t xml:space="preserve"> с дополнением в виде буквы греческого алфавита, обозначающей различия между соединениями в последовательности аминокислот, поскольку эритропоэтины человека различаются по типу гликозилирования. В группировочных наименованиях веществ с разной аминокислотной последовательностью используется основа –</w:t>
      </w:r>
      <w:r>
        <w:rPr>
          <w:rFonts w:ascii="Times New Roman"/>
          <w:b w:val="false"/>
          <w:i/>
          <w:color w:val="000000"/>
          <w:sz w:val="28"/>
        </w:rPr>
        <w:t>поэтин</w:t>
      </w:r>
      <w:r>
        <w:rPr>
          <w:rFonts w:ascii="Times New Roman"/>
          <w:b w:val="false"/>
          <w:i w:val="false"/>
          <w:color w:val="000000"/>
          <w:sz w:val="28"/>
        </w:rPr>
        <w:t>, к которой добавляется выбранный случайным образом префикс (например, обозначение ростовых факторов крови, влияющих на эритропоэз: -</w:t>
      </w:r>
      <w:r>
        <w:rPr>
          <w:rFonts w:ascii="Times New Roman"/>
          <w:b w:val="false"/>
          <w:i/>
          <w:color w:val="000000"/>
          <w:sz w:val="28"/>
        </w:rPr>
        <w:t>эпоэтин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67"/>
    <w:bookmarkStart w:name="z74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Факторы роста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В группировочных наименованиях факторов роста используется общая основа </w:t>
      </w:r>
      <w:r>
        <w:rPr>
          <w:rFonts w:ascii="Times New Roman"/>
          <w:b w:val="false"/>
          <w:i/>
          <w:color w:val="000000"/>
          <w:sz w:val="28"/>
        </w:rPr>
        <w:t>-</w:t>
      </w:r>
      <w:r>
        <w:rPr>
          <w:rFonts w:ascii="Times New Roman"/>
          <w:b w:val="false"/>
          <w:i/>
          <w:color w:val="000000"/>
          <w:sz w:val="28"/>
        </w:rPr>
        <w:t>ермин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Вспомогательные основы позволяют отличить разные типы факторов роста (например, эпидермальные факторы роста, факторы роста одонтобластов и факторы роста инсулинового типа).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При выборе группировочных наименований для факторов некроза опухолей (TNF) они классифицируются, так же как и факторы роста.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Например, используются следующие вспомогательные основы: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-</w:t>
      </w:r>
      <w:r>
        <w:rPr>
          <w:rFonts w:ascii="Times New Roman"/>
          <w:b w:val="false"/>
          <w:i/>
          <w:color w:val="000000"/>
          <w:sz w:val="28"/>
        </w:rPr>
        <w:t>дермин</w:t>
      </w:r>
      <w:r>
        <w:rPr>
          <w:rFonts w:ascii="Times New Roman"/>
          <w:b w:val="false"/>
          <w:i w:val="false"/>
          <w:color w:val="000000"/>
          <w:sz w:val="28"/>
        </w:rPr>
        <w:t xml:space="preserve"> (для эпидермальных факторов роста);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-</w:t>
      </w:r>
      <w:r>
        <w:rPr>
          <w:rFonts w:ascii="Times New Roman"/>
          <w:b w:val="false"/>
          <w:i/>
          <w:color w:val="000000"/>
          <w:sz w:val="28"/>
        </w:rPr>
        <w:t>фермин</w:t>
      </w:r>
      <w:r>
        <w:rPr>
          <w:rFonts w:ascii="Times New Roman"/>
          <w:b w:val="false"/>
          <w:i w:val="false"/>
          <w:color w:val="000000"/>
          <w:sz w:val="28"/>
        </w:rPr>
        <w:t xml:space="preserve"> (для факторов роста одонтобластов);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-</w:t>
      </w:r>
      <w:r>
        <w:rPr>
          <w:rFonts w:ascii="Times New Roman"/>
          <w:b w:val="false"/>
          <w:i/>
          <w:color w:val="000000"/>
          <w:sz w:val="28"/>
        </w:rPr>
        <w:t>нермин</w:t>
      </w:r>
      <w:r>
        <w:rPr>
          <w:rFonts w:ascii="Times New Roman"/>
          <w:b w:val="false"/>
          <w:i w:val="false"/>
          <w:color w:val="000000"/>
          <w:sz w:val="28"/>
        </w:rPr>
        <w:t xml:space="preserve"> (для факторов некроза опухолей (TNF));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-</w:t>
      </w:r>
      <w:r>
        <w:rPr>
          <w:rFonts w:ascii="Times New Roman"/>
          <w:b w:val="false"/>
          <w:i/>
          <w:color w:val="000000"/>
          <w:sz w:val="28"/>
        </w:rPr>
        <w:t>плермин</w:t>
      </w:r>
      <w:r>
        <w:rPr>
          <w:rFonts w:ascii="Times New Roman"/>
          <w:b w:val="false"/>
          <w:i w:val="false"/>
          <w:color w:val="000000"/>
          <w:sz w:val="28"/>
        </w:rPr>
        <w:t xml:space="preserve"> (для факторов роста тромбоцитов);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-</w:t>
      </w:r>
      <w:r>
        <w:rPr>
          <w:rFonts w:ascii="Times New Roman"/>
          <w:b w:val="false"/>
          <w:i/>
          <w:color w:val="000000"/>
          <w:sz w:val="28"/>
        </w:rPr>
        <w:t>сермин</w:t>
      </w:r>
      <w:r>
        <w:rPr>
          <w:rFonts w:ascii="Times New Roman"/>
          <w:b w:val="false"/>
          <w:i w:val="false"/>
          <w:color w:val="000000"/>
          <w:sz w:val="28"/>
        </w:rPr>
        <w:t xml:space="preserve"> (для факторов роста инсулинового типа);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-термин</w:t>
      </w:r>
      <w:r>
        <w:rPr>
          <w:rFonts w:ascii="Times New Roman"/>
          <w:b w:val="false"/>
          <w:i w:val="false"/>
          <w:color w:val="000000"/>
          <w:sz w:val="28"/>
        </w:rPr>
        <w:t xml:space="preserve"> (для трансформирующего фактора роста);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-</w:t>
      </w:r>
      <w:r>
        <w:rPr>
          <w:rFonts w:ascii="Times New Roman"/>
          <w:b w:val="false"/>
          <w:i/>
          <w:color w:val="000000"/>
          <w:sz w:val="28"/>
        </w:rPr>
        <w:t>бермин</w:t>
      </w:r>
      <w:r>
        <w:rPr>
          <w:rFonts w:ascii="Times New Roman"/>
          <w:b w:val="false"/>
          <w:i w:val="false"/>
          <w:color w:val="000000"/>
          <w:sz w:val="28"/>
        </w:rPr>
        <w:t xml:space="preserve"> (для факторов роста эндотелия сосудов).</w:t>
      </w:r>
    </w:p>
    <w:bookmarkEnd w:id="79"/>
    <w:bookmarkStart w:name="z86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Гормоны роста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В группировочных наименованиях гормонов роста используется основа </w:t>
      </w:r>
      <w:r>
        <w:rPr>
          <w:rFonts w:ascii="Times New Roman"/>
          <w:b w:val="false"/>
          <w:i/>
          <w:color w:val="000000"/>
          <w:sz w:val="28"/>
        </w:rPr>
        <w:t>сом-</w:t>
      </w:r>
      <w:r>
        <w:rPr>
          <w:rFonts w:ascii="Times New Roman"/>
          <w:b w:val="false"/>
          <w:i w:val="false"/>
          <w:color w:val="000000"/>
          <w:sz w:val="28"/>
        </w:rPr>
        <w:t>. Для веществ, не относящихся к веществам, продуцируемым организмом человека, к основе добавляются суффиксы, обозначающие их специфическую структуру.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Например, к основе </w:t>
      </w:r>
      <w:r>
        <w:rPr>
          <w:rFonts w:ascii="Times New Roman"/>
          <w:b w:val="false"/>
          <w:i/>
          <w:color w:val="000000"/>
          <w:sz w:val="28"/>
        </w:rPr>
        <w:t>сом-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добавляются: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-</w:t>
      </w:r>
      <w:r>
        <w:rPr>
          <w:rFonts w:ascii="Times New Roman"/>
          <w:b w:val="false"/>
          <w:i/>
          <w:color w:val="000000"/>
          <w:sz w:val="28"/>
        </w:rPr>
        <w:t>бов</w:t>
      </w:r>
      <w:r>
        <w:rPr>
          <w:rFonts w:ascii="Times New Roman"/>
          <w:b w:val="false"/>
          <w:i w:val="false"/>
          <w:color w:val="000000"/>
          <w:sz w:val="28"/>
        </w:rPr>
        <w:t xml:space="preserve"> (для веществ бычьего типа);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-пор</w:t>
      </w:r>
      <w:r>
        <w:rPr>
          <w:rFonts w:ascii="Times New Roman"/>
          <w:b w:val="false"/>
          <w:i w:val="false"/>
          <w:color w:val="000000"/>
          <w:sz w:val="28"/>
        </w:rPr>
        <w:t xml:space="preserve"> (для веществ свиного типа);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-салм</w:t>
      </w:r>
      <w:r>
        <w:rPr>
          <w:rFonts w:ascii="Times New Roman"/>
          <w:b w:val="false"/>
          <w:i w:val="false"/>
          <w:color w:val="000000"/>
          <w:sz w:val="28"/>
        </w:rPr>
        <w:t xml:space="preserve"> (для веществ лососевого типа)</w:t>
      </w:r>
      <w:r>
        <w:rPr>
          <w:rFonts w:ascii="Times New Roman"/>
          <w:b w:val="false"/>
          <w:i/>
          <w:color w:val="000000"/>
          <w:sz w:val="28"/>
        </w:rPr>
        <w:t>.</w:t>
      </w:r>
    </w:p>
    <w:bookmarkEnd w:id="85"/>
    <w:bookmarkStart w:name="z92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Аналоги гирудина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      Гирудин является известным названием антикоагулянта, извлеченного из медицинских пиявок. Аналоги гирудина представляют собой негликозилированные полипептиды, производимые методом рекомбинационной биотехнологии. Основа </w:t>
      </w:r>
      <w:r>
        <w:rPr>
          <w:rFonts w:ascii="Times New Roman"/>
          <w:b w:val="false"/>
          <w:i/>
          <w:color w:val="000000"/>
          <w:sz w:val="28"/>
        </w:rPr>
        <w:t>-</w:t>
      </w:r>
      <w:r>
        <w:rPr>
          <w:rFonts w:ascii="Times New Roman"/>
          <w:b w:val="false"/>
          <w:i/>
          <w:color w:val="000000"/>
          <w:sz w:val="28"/>
        </w:rPr>
        <w:t>ирудин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используется в группировочных наименованиях аналогов гирудина, а выбранный случайным образом префикс характеризует вещества с разной последовательностью аминокислот.</w:t>
      </w:r>
    </w:p>
    <w:bookmarkEnd w:id="87"/>
    <w:bookmarkStart w:name="z94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Пептиды, стимулирующие и ингибирующие выработку гормонов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В группировочных наименованиях пептидов, стимулирующих выработку гормонов, используется общая основа </w:t>
      </w:r>
      <w:r>
        <w:rPr>
          <w:rFonts w:ascii="Times New Roman"/>
          <w:b w:val="false"/>
          <w:i/>
          <w:color w:val="000000"/>
          <w:sz w:val="28"/>
        </w:rPr>
        <w:t>-</w:t>
      </w:r>
      <w:r>
        <w:rPr>
          <w:rFonts w:ascii="Times New Roman"/>
          <w:b w:val="false"/>
          <w:i/>
          <w:color w:val="000000"/>
          <w:sz w:val="28"/>
        </w:rPr>
        <w:t>релин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группировочных наименованиях пептидов, ингибирующих выработку гормонов, используется основа </w:t>
      </w:r>
      <w:r>
        <w:rPr>
          <w:rFonts w:ascii="Times New Roman"/>
          <w:b w:val="false"/>
          <w:i/>
          <w:color w:val="000000"/>
          <w:sz w:val="28"/>
        </w:rPr>
        <w:t>-</w:t>
      </w:r>
      <w:r>
        <w:rPr>
          <w:rFonts w:ascii="Times New Roman"/>
          <w:b w:val="false"/>
          <w:i/>
          <w:color w:val="000000"/>
          <w:sz w:val="28"/>
        </w:rPr>
        <w:t>реликс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Например, к основе -</w:t>
      </w:r>
      <w:r>
        <w:rPr>
          <w:rFonts w:ascii="Times New Roman"/>
          <w:b w:val="false"/>
          <w:i/>
          <w:color w:val="000000"/>
          <w:sz w:val="28"/>
        </w:rPr>
        <w:t>релин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добавляются: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</w:t>
      </w:r>
      <w:r>
        <w:rPr>
          <w:rFonts w:ascii="Times New Roman"/>
          <w:b w:val="false"/>
          <w:i/>
          <w:color w:val="000000"/>
          <w:sz w:val="28"/>
        </w:rPr>
        <w:t>мо</w:t>
      </w:r>
      <w:r>
        <w:rPr>
          <w:rFonts w:ascii="Times New Roman"/>
          <w:b w:val="false"/>
          <w:i w:val="false"/>
          <w:color w:val="000000"/>
          <w:sz w:val="28"/>
        </w:rPr>
        <w:t xml:space="preserve"> (для пептидов, стимулирующих выработку гормона роста);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</w:t>
      </w:r>
      <w:r>
        <w:rPr>
          <w:rFonts w:ascii="Times New Roman"/>
          <w:b w:val="false"/>
          <w:i/>
          <w:color w:val="000000"/>
          <w:sz w:val="28"/>
        </w:rPr>
        <w:t>ти</w:t>
      </w:r>
      <w:r>
        <w:rPr>
          <w:rFonts w:ascii="Times New Roman"/>
          <w:b w:val="false"/>
          <w:i w:val="false"/>
          <w:color w:val="000000"/>
          <w:sz w:val="28"/>
        </w:rPr>
        <w:t xml:space="preserve"> (для аналогов гормонов, стимулирующих выработку тиреотропиного гормона).</w:t>
      </w:r>
    </w:p>
    <w:bookmarkEnd w:id="93"/>
    <w:bookmarkStart w:name="z100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Интерлейкины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Исходя из необходимости присвоения группировочных наименований вновь появляющимся интерлейкинам, применяются следующие основы для рекомбинантных интерлейкинов, приведенные в следующей таблице: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89"/>
        <w:gridCol w:w="4211"/>
      </w:tblGrid>
      <w:tr>
        <w:trPr>
          <w:trHeight w:val="30" w:hRule="atLeast"/>
        </w:trPr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интерлейкина</w:t>
            </w:r>
          </w:p>
        </w:tc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 группировочных наименований</w:t>
            </w:r>
          </w:p>
        </w:tc>
      </w:tr>
      <w:tr>
        <w:trPr>
          <w:trHeight w:val="30" w:hRule="atLeast"/>
        </w:trPr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ИЛ-1</w:t>
            </w:r>
          </w:p>
        </w:tc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накин</w:t>
            </w:r>
          </w:p>
        </w:tc>
      </w:tr>
      <w:tr>
        <w:trPr>
          <w:trHeight w:val="30" w:hRule="atLeast"/>
        </w:trPr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ИЛ-2</w:t>
            </w:r>
          </w:p>
        </w:tc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лейкин</w:t>
            </w:r>
          </w:p>
        </w:tc>
      </w:tr>
      <w:tr>
        <w:trPr>
          <w:trHeight w:val="30" w:hRule="atLeast"/>
        </w:trPr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ИЛ-3</w:t>
            </w:r>
          </w:p>
        </w:tc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плестим</w:t>
            </w:r>
          </w:p>
        </w:tc>
      </w:tr>
      <w:tr>
        <w:trPr>
          <w:trHeight w:val="30" w:hRule="atLeast"/>
        </w:trPr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ИЛ-6</w:t>
            </w:r>
          </w:p>
        </w:tc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ексакин</w:t>
            </w:r>
          </w:p>
        </w:tc>
      </w:tr>
      <w:tr>
        <w:trPr>
          <w:trHeight w:val="30" w:hRule="atLeast"/>
        </w:trPr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ИЛ-8</w:t>
            </w:r>
          </w:p>
        </w:tc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октакин</w:t>
            </w:r>
          </w:p>
        </w:tc>
      </w:tr>
      <w:tr>
        <w:trPr>
          <w:trHeight w:val="30" w:hRule="atLeast"/>
        </w:trPr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ИЛ-11</w:t>
            </w:r>
          </w:p>
        </w:tc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елвекин</w:t>
            </w:r>
          </w:p>
        </w:tc>
      </w:tr>
      <w:tr>
        <w:trPr>
          <w:trHeight w:val="30" w:hRule="atLeast"/>
        </w:trPr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ИЛ-12</w:t>
            </w:r>
          </w:p>
        </w:tc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додекин</w:t>
            </w:r>
          </w:p>
        </w:tc>
      </w:tr>
      <w:tr>
        <w:trPr>
          <w:trHeight w:val="30" w:hRule="atLeast"/>
        </w:trPr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ИЛ-13</w:t>
            </w:r>
          </w:p>
        </w:tc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тредикин</w:t>
            </w:r>
          </w:p>
        </w:tc>
      </w:tr>
      <w:tr>
        <w:trPr>
          <w:trHeight w:val="30" w:hRule="atLeast"/>
        </w:trPr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ИЛ-18</w:t>
            </w:r>
          </w:p>
        </w:tc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ибостадекин</w:t>
            </w:r>
          </w:p>
        </w:tc>
      </w:tr>
    </w:tbl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В группировочных наименованиях гликозилированных интерлейкинов наряду с буквами </w:t>
      </w:r>
    </w:p>
    <w:bookmarkEnd w:id="96"/>
    <w:p>
      <w:pPr>
        <w:spacing w:after="0"/>
        <w:ind w:left="0"/>
        <w:jc w:val="both"/>
      </w:pPr>
      <w:r>
        <w:drawing>
          <wp:inline distT="0" distB="0" distL="0" distR="0">
            <wp:extent cx="3048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81000" cy="48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и т. д. используются наименования гликозилированных протеинов в соответствии с пунктом 19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3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11. Антагонисты рецепторов интерлейкина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 группировочных наименованиях антагонистов рецепторов интерлейкина используется общая основа –</w:t>
      </w:r>
      <w:r>
        <w:rPr>
          <w:rFonts w:ascii="Times New Roman"/>
          <w:b w:val="false"/>
          <w:i/>
          <w:color w:val="000000"/>
          <w:sz w:val="28"/>
        </w:rPr>
        <w:t>кинра</w:t>
      </w:r>
      <w:r>
        <w:rPr>
          <w:rFonts w:ascii="Times New Roman"/>
          <w:b w:val="false"/>
          <w:i w:val="false"/>
          <w:color w:val="000000"/>
          <w:sz w:val="28"/>
        </w:rPr>
        <w:t>. Для индивидуальных веществ к основе добавляются суффиксы, обозначающие их специфическую структуру: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</w:t>
      </w:r>
      <w:r>
        <w:rPr>
          <w:rFonts w:ascii="Times New Roman"/>
          <w:b w:val="false"/>
          <w:i/>
          <w:color w:val="000000"/>
          <w:sz w:val="28"/>
        </w:rPr>
        <w:t xml:space="preserve">на </w:t>
      </w:r>
      <w:r>
        <w:rPr>
          <w:rFonts w:ascii="Times New Roman"/>
          <w:b w:val="false"/>
          <w:i w:val="false"/>
          <w:color w:val="000000"/>
          <w:sz w:val="28"/>
        </w:rPr>
        <w:t>(для антагонистов рецептора интерлейкина-1 (</w:t>
      </w:r>
      <w:r>
        <w:rPr>
          <w:rFonts w:ascii="Times New Roman"/>
          <w:b w:val="false"/>
          <w:i/>
          <w:color w:val="000000"/>
          <w:sz w:val="28"/>
        </w:rPr>
        <w:t>ИЛ-1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</w:t>
      </w:r>
      <w:r>
        <w:rPr>
          <w:rFonts w:ascii="Times New Roman"/>
          <w:b w:val="false"/>
          <w:i/>
          <w:color w:val="000000"/>
          <w:sz w:val="28"/>
        </w:rPr>
        <w:t>тра</w:t>
      </w:r>
      <w:r>
        <w:rPr>
          <w:rFonts w:ascii="Times New Roman"/>
          <w:b w:val="false"/>
          <w:i w:val="false"/>
          <w:color w:val="000000"/>
          <w:sz w:val="28"/>
        </w:rPr>
        <w:t xml:space="preserve"> (для антагонистов рецептора интерлейкина-4 (</w:t>
      </w:r>
      <w:r>
        <w:rPr>
          <w:rFonts w:ascii="Times New Roman"/>
          <w:b w:val="false"/>
          <w:i/>
          <w:color w:val="000000"/>
          <w:sz w:val="28"/>
        </w:rPr>
        <w:t>ИЛ-4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rPr>
          <w:rFonts w:ascii="Times New Roman"/>
          <w:b w:val="false"/>
          <w:i/>
          <w:color w:val="000000"/>
          <w:sz w:val="28"/>
        </w:rPr>
        <w:t>.</w:t>
      </w:r>
    </w:p>
    <w:bookmarkEnd w:id="100"/>
    <w:bookmarkStart w:name="z107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12. Гормоны гипофиза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Основа </w:t>
      </w:r>
      <w:r>
        <w:rPr>
          <w:rFonts w:ascii="Times New Roman"/>
          <w:b w:val="false"/>
          <w:i/>
          <w:color w:val="000000"/>
          <w:sz w:val="28"/>
        </w:rPr>
        <w:t>-</w:t>
      </w:r>
      <w:r>
        <w:rPr>
          <w:rFonts w:ascii="Times New Roman"/>
          <w:b w:val="false"/>
          <w:i/>
          <w:color w:val="000000"/>
          <w:sz w:val="28"/>
        </w:rPr>
        <w:t>тропин</w:t>
      </w:r>
      <w:r>
        <w:rPr>
          <w:rFonts w:ascii="Times New Roman"/>
          <w:b w:val="false"/>
          <w:i w:val="false"/>
          <w:color w:val="000000"/>
          <w:sz w:val="28"/>
        </w:rPr>
        <w:t>, рекомендованная Международным союзом теоретической и прикладной химии (IUPAC) и Международным союзом биохимии и молекулярной биологии (IUB), используется в группировочных наименованиях веществ, аминокислотная последовательность которых идентична гормону, присутствующему в организме человека. Добавление буквы греческого алфавита в качестве второго наименования позволяет дифференцировать различия между типами гликозилирования веществ, произведенных биотехнологическим методом.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Например, к основе </w:t>
      </w:r>
      <w:r>
        <w:rPr>
          <w:rFonts w:ascii="Times New Roman"/>
          <w:b w:val="false"/>
          <w:i/>
          <w:color w:val="000000"/>
          <w:sz w:val="28"/>
        </w:rPr>
        <w:t>-</w:t>
      </w:r>
      <w:r>
        <w:rPr>
          <w:rFonts w:ascii="Times New Roman"/>
          <w:b w:val="false"/>
          <w:i/>
          <w:color w:val="000000"/>
          <w:sz w:val="28"/>
        </w:rPr>
        <w:t>тропин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добавляются: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-</w:t>
      </w:r>
      <w:r>
        <w:rPr>
          <w:rFonts w:ascii="Times New Roman"/>
          <w:b w:val="false"/>
          <w:i/>
          <w:color w:val="000000"/>
          <w:sz w:val="28"/>
        </w:rPr>
        <w:t>гонадо</w:t>
      </w:r>
      <w:r>
        <w:rPr>
          <w:rFonts w:ascii="Times New Roman"/>
          <w:b w:val="false"/>
          <w:i w:val="false"/>
          <w:color w:val="000000"/>
          <w:sz w:val="28"/>
        </w:rPr>
        <w:t xml:space="preserve"> (для гормонов, стимулирующих половые железы);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</w:t>
      </w:r>
      <w:r>
        <w:rPr>
          <w:rFonts w:ascii="Times New Roman"/>
          <w:b w:val="false"/>
          <w:i/>
          <w:color w:val="000000"/>
          <w:sz w:val="28"/>
        </w:rPr>
        <w:t>фолли</w:t>
      </w:r>
      <w:r>
        <w:rPr>
          <w:rFonts w:ascii="Times New Roman"/>
          <w:b w:val="false"/>
          <w:i w:val="false"/>
          <w:color w:val="000000"/>
          <w:sz w:val="28"/>
        </w:rPr>
        <w:t xml:space="preserve"> (для гормонов, стимулирующих фолликулы);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</w:t>
      </w:r>
      <w:r>
        <w:rPr>
          <w:rFonts w:ascii="Times New Roman"/>
          <w:b w:val="false"/>
          <w:i/>
          <w:color w:val="000000"/>
          <w:sz w:val="28"/>
        </w:rPr>
        <w:t>лю</w:t>
      </w:r>
      <w:r>
        <w:rPr>
          <w:rFonts w:ascii="Times New Roman"/>
          <w:b w:val="false"/>
          <w:i w:val="false"/>
          <w:color w:val="000000"/>
          <w:sz w:val="28"/>
        </w:rPr>
        <w:t xml:space="preserve"> (для лютеинизирующих гормонов).</w:t>
      </w:r>
    </w:p>
    <w:bookmarkEnd w:id="106"/>
    <w:bookmarkStart w:name="z113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13. Моноклональные антитела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Для составления группировочных наименований моноклональных антител применяется следующая схема: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 указание общей основы </w:t>
      </w:r>
      <w:r>
        <w:rPr>
          <w:rFonts w:ascii="Times New Roman"/>
          <w:b w:val="false"/>
          <w:i/>
          <w:color w:val="000000"/>
          <w:sz w:val="28"/>
        </w:rPr>
        <w:t>–</w:t>
      </w:r>
      <w:r>
        <w:rPr>
          <w:rFonts w:ascii="Times New Roman"/>
          <w:b w:val="false"/>
          <w:i/>
          <w:color w:val="000000"/>
          <w:sz w:val="28"/>
        </w:rPr>
        <w:t>маб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добавление вспомогательной основы, указывающей на происхождение антитела: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-у- </w:t>
      </w:r>
      <w:r>
        <w:rPr>
          <w:rFonts w:ascii="Times New Roman"/>
          <w:b w:val="false"/>
          <w:i w:val="false"/>
          <w:color w:val="000000"/>
          <w:sz w:val="28"/>
        </w:rPr>
        <w:t xml:space="preserve">(для антитела, полученного у человека); 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-и- </w:t>
      </w:r>
      <w:r>
        <w:rPr>
          <w:rFonts w:ascii="Times New Roman"/>
          <w:b w:val="false"/>
          <w:i w:val="false"/>
          <w:color w:val="000000"/>
          <w:sz w:val="28"/>
        </w:rPr>
        <w:t>(для антитела, выработанного в организме приматов);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-а- </w:t>
      </w:r>
      <w:r>
        <w:rPr>
          <w:rFonts w:ascii="Times New Roman"/>
          <w:b w:val="false"/>
          <w:i w:val="false"/>
          <w:color w:val="000000"/>
          <w:sz w:val="28"/>
        </w:rPr>
        <w:t>(для антитела, выработанного в организме крыс);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-о- </w:t>
      </w:r>
      <w:r>
        <w:rPr>
          <w:rFonts w:ascii="Times New Roman"/>
          <w:b w:val="false"/>
          <w:i w:val="false"/>
          <w:color w:val="000000"/>
          <w:sz w:val="28"/>
        </w:rPr>
        <w:t>(для антитела, выработанного в организме мышей);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-е- </w:t>
      </w:r>
      <w:r>
        <w:rPr>
          <w:rFonts w:ascii="Times New Roman"/>
          <w:b w:val="false"/>
          <w:i w:val="false"/>
          <w:color w:val="000000"/>
          <w:sz w:val="28"/>
        </w:rPr>
        <w:t xml:space="preserve">(для антитела, выработанного в организме грызунов, за исключением крыс и мышей); 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-кси- </w:t>
      </w:r>
      <w:r>
        <w:rPr>
          <w:rFonts w:ascii="Times New Roman"/>
          <w:b w:val="false"/>
          <w:i w:val="false"/>
          <w:color w:val="000000"/>
          <w:sz w:val="28"/>
        </w:rPr>
        <w:t>(для химерного антитела);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-</w:t>
      </w:r>
      <w:r>
        <w:rPr>
          <w:rFonts w:ascii="Times New Roman"/>
          <w:b w:val="false"/>
          <w:i/>
          <w:color w:val="000000"/>
          <w:sz w:val="28"/>
        </w:rPr>
        <w:t>зу</w:t>
      </w:r>
      <w:r>
        <w:rPr>
          <w:rFonts w:ascii="Times New Roman"/>
          <w:b w:val="false"/>
          <w:i/>
          <w:color w:val="000000"/>
          <w:sz w:val="28"/>
        </w:rPr>
        <w:t xml:space="preserve">- </w:t>
      </w:r>
      <w:r>
        <w:rPr>
          <w:rFonts w:ascii="Times New Roman"/>
          <w:b w:val="false"/>
          <w:i w:val="false"/>
          <w:color w:val="000000"/>
          <w:sz w:val="28"/>
        </w:rPr>
        <w:t>(для гуманизированного антитела).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Химерными являются антитела, в которых вариабельные домены тяжелых и легких цепей иммуноглобулина человека замещены соответствующими доменами иммуноглобулина другого происхождения (преимущественно полученными от грызунов (мышей или крыс)), обладающими требуемой антигенной специфичностью.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Гуманизированными являются антитела, в которых 3 короткие гипервариабельные последовательности вариабельных доменов каждой цепи иммуноглобулина (участки, за счет которых происходит комплементарное связывание антигена (CDRs)) имеют мышиное (или другое) происхождение и встроены в структуру вариабельных доменов иммуноглобулина человека. Другие изменения гипервариабельной последовательности могут быть введены для улучшения связывания антигена.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Рекомбинантными являются человеческие антитела</w:t>
      </w:r>
      <w:r>
        <w:rPr>
          <w:rFonts w:ascii="Times New Roman"/>
          <w:b w:val="false"/>
          <w:i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в которых вариабельные домены тяжелых и легких цепей иммуноглобулина человека комбинированы с константным регионом иммуноглобулина человека;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добавление вспомогательной основы, указывающей на целевую патологию или целевую группу: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-ба(к)- </w:t>
      </w:r>
      <w:r>
        <w:rPr>
          <w:rFonts w:ascii="Times New Roman"/>
          <w:b w:val="false"/>
          <w:i w:val="false"/>
          <w:color w:val="000000"/>
          <w:sz w:val="28"/>
        </w:rPr>
        <w:t>(для лечения бактериальных инфекций);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-</w:t>
      </w:r>
      <w:r>
        <w:rPr>
          <w:rFonts w:ascii="Times New Roman"/>
          <w:b w:val="false"/>
          <w:i/>
          <w:color w:val="000000"/>
          <w:sz w:val="28"/>
        </w:rPr>
        <w:t>ци</w:t>
      </w:r>
      <w:r>
        <w:rPr>
          <w:rFonts w:ascii="Times New Roman"/>
          <w:b w:val="false"/>
          <w:i/>
          <w:color w:val="000000"/>
          <w:sz w:val="28"/>
        </w:rPr>
        <w:t xml:space="preserve">(р)- </w:t>
      </w:r>
      <w:r>
        <w:rPr>
          <w:rFonts w:ascii="Times New Roman"/>
          <w:b w:val="false"/>
          <w:i w:val="false"/>
          <w:color w:val="000000"/>
          <w:sz w:val="28"/>
        </w:rPr>
        <w:t>(для влияния на сердечно-сосудистую систему);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-ос- </w:t>
      </w:r>
      <w:r>
        <w:rPr>
          <w:rFonts w:ascii="Times New Roman"/>
          <w:b w:val="false"/>
          <w:i w:val="false"/>
          <w:color w:val="000000"/>
          <w:sz w:val="28"/>
        </w:rPr>
        <w:t>(для влияния на костную систему);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-ли(м)- </w:t>
      </w:r>
      <w:r>
        <w:rPr>
          <w:rFonts w:ascii="Times New Roman"/>
          <w:b w:val="false"/>
          <w:i w:val="false"/>
          <w:color w:val="000000"/>
          <w:sz w:val="28"/>
        </w:rPr>
        <w:t>(для иммуномодулирующего действия);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-</w:t>
      </w:r>
      <w:r>
        <w:rPr>
          <w:rFonts w:ascii="Times New Roman"/>
          <w:b w:val="false"/>
          <w:i/>
          <w:color w:val="000000"/>
          <w:sz w:val="28"/>
        </w:rPr>
        <w:t>ле</w:t>
      </w:r>
      <w:r>
        <w:rPr>
          <w:rFonts w:ascii="Times New Roman"/>
          <w:b w:val="false"/>
          <w:i/>
          <w:color w:val="000000"/>
          <w:sz w:val="28"/>
        </w:rPr>
        <w:t xml:space="preserve">(с)- </w:t>
      </w:r>
      <w:r>
        <w:rPr>
          <w:rFonts w:ascii="Times New Roman"/>
          <w:b w:val="false"/>
          <w:i w:val="false"/>
          <w:color w:val="000000"/>
          <w:sz w:val="28"/>
        </w:rPr>
        <w:t>(для влияния на воспалительные поражения);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-</w:t>
      </w:r>
      <w:r>
        <w:rPr>
          <w:rFonts w:ascii="Times New Roman"/>
          <w:b w:val="false"/>
          <w:i/>
          <w:color w:val="000000"/>
          <w:sz w:val="28"/>
        </w:rPr>
        <w:t>ви</w:t>
      </w:r>
      <w:r>
        <w:rPr>
          <w:rFonts w:ascii="Times New Roman"/>
          <w:b w:val="false"/>
          <w:i/>
          <w:color w:val="000000"/>
          <w:sz w:val="28"/>
        </w:rPr>
        <w:t xml:space="preserve">(р)- </w:t>
      </w:r>
      <w:r>
        <w:rPr>
          <w:rFonts w:ascii="Times New Roman"/>
          <w:b w:val="false"/>
          <w:i w:val="false"/>
          <w:color w:val="000000"/>
          <w:sz w:val="28"/>
        </w:rPr>
        <w:t xml:space="preserve">(для лечения вирусных инфекций); 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-ко(л)-</w:t>
      </w:r>
      <w:r>
        <w:rPr>
          <w:rFonts w:ascii="Times New Roman"/>
          <w:b w:val="false"/>
          <w:i w:val="false"/>
          <w:color w:val="000000"/>
          <w:sz w:val="28"/>
        </w:rPr>
        <w:t xml:space="preserve"> (для лечения злокачественных новообразований в толстой кишке);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-го(т)-</w:t>
      </w:r>
      <w:r>
        <w:rPr>
          <w:rFonts w:ascii="Times New Roman"/>
          <w:b w:val="false"/>
          <w:i w:val="false"/>
          <w:color w:val="000000"/>
          <w:sz w:val="28"/>
        </w:rPr>
        <w:t xml:space="preserve"> (для лечения злокачественных новообразований в яичках);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-го(в)- </w:t>
      </w:r>
      <w:r>
        <w:rPr>
          <w:rFonts w:ascii="Times New Roman"/>
          <w:b w:val="false"/>
          <w:i w:val="false"/>
          <w:color w:val="000000"/>
          <w:sz w:val="28"/>
        </w:rPr>
        <w:t>(для лечения злокачественных новообразований в яичниках);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-</w:t>
      </w:r>
      <w:r>
        <w:rPr>
          <w:rFonts w:ascii="Times New Roman"/>
          <w:b w:val="false"/>
          <w:i/>
          <w:color w:val="000000"/>
          <w:sz w:val="28"/>
        </w:rPr>
        <w:t>ма</w:t>
      </w:r>
      <w:r>
        <w:rPr>
          <w:rFonts w:ascii="Times New Roman"/>
          <w:b w:val="false"/>
          <w:i/>
          <w:color w:val="000000"/>
          <w:sz w:val="28"/>
        </w:rPr>
        <w:t xml:space="preserve">(р)- </w:t>
      </w:r>
      <w:r>
        <w:rPr>
          <w:rFonts w:ascii="Times New Roman"/>
          <w:b w:val="false"/>
          <w:i w:val="false"/>
          <w:color w:val="000000"/>
          <w:sz w:val="28"/>
        </w:rPr>
        <w:t>(для лечения злокачественных новообразований в молочной железе);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-</w:t>
      </w:r>
      <w:r>
        <w:rPr>
          <w:rFonts w:ascii="Times New Roman"/>
          <w:b w:val="false"/>
          <w:i/>
          <w:color w:val="000000"/>
          <w:sz w:val="28"/>
        </w:rPr>
        <w:t>ме</w:t>
      </w:r>
      <w:r>
        <w:rPr>
          <w:rFonts w:ascii="Times New Roman"/>
          <w:b w:val="false"/>
          <w:i/>
          <w:color w:val="000000"/>
          <w:sz w:val="28"/>
        </w:rPr>
        <w:t xml:space="preserve">(л)- </w:t>
      </w:r>
      <w:r>
        <w:rPr>
          <w:rFonts w:ascii="Times New Roman"/>
          <w:b w:val="false"/>
          <w:i w:val="false"/>
          <w:color w:val="000000"/>
          <w:sz w:val="28"/>
        </w:rPr>
        <w:t>(для лечения злокачественных новообразований в виде меланом);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-</w:t>
      </w:r>
      <w:r>
        <w:rPr>
          <w:rFonts w:ascii="Times New Roman"/>
          <w:b w:val="false"/>
          <w:i/>
          <w:color w:val="000000"/>
          <w:sz w:val="28"/>
        </w:rPr>
        <w:t>пр</w:t>
      </w:r>
      <w:r>
        <w:rPr>
          <w:rFonts w:ascii="Times New Roman"/>
          <w:b w:val="false"/>
          <w:i/>
          <w:color w:val="000000"/>
          <w:sz w:val="28"/>
        </w:rPr>
        <w:t xml:space="preserve">(о)- </w:t>
      </w:r>
      <w:r>
        <w:rPr>
          <w:rFonts w:ascii="Times New Roman"/>
          <w:b w:val="false"/>
          <w:i w:val="false"/>
          <w:color w:val="000000"/>
          <w:sz w:val="28"/>
        </w:rPr>
        <w:t>(для лечения злокачественных новообразований в простате);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-ту(м)- </w:t>
      </w:r>
      <w:r>
        <w:rPr>
          <w:rFonts w:ascii="Times New Roman"/>
          <w:b w:val="false"/>
          <w:i w:val="false"/>
          <w:color w:val="000000"/>
          <w:sz w:val="28"/>
        </w:rPr>
        <w:t>(для иных локализаций злокачественных новообразований).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возникновении трудностей с произношением последняя буква вспомогательной основы может опускаться;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добавление путем случайного выбора префикса, который будет обеспечивать формирование четкого наименования;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д) добавление второго слова в наименовании (в случае, если моноклональное антитело помечено радиоактивным изотопом или представляет собой сложное соединение с другим химическим веществом, например, с токсином). Наименование такого сложного соединения дополняется отдельным вторым словом или подходящим химическим обозначением. Когда моноклональные антитела соединены с токсином, используется основа </w:t>
      </w:r>
      <w:r>
        <w:rPr>
          <w:rFonts w:ascii="Times New Roman"/>
          <w:b w:val="false"/>
          <w:i/>
          <w:color w:val="000000"/>
          <w:sz w:val="28"/>
        </w:rPr>
        <w:t>токса</w:t>
      </w:r>
      <w:r>
        <w:rPr>
          <w:rFonts w:ascii="Times New Roman"/>
          <w:b w:val="false"/>
          <w:i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как часть наименования, выбранного для токсина.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моноклональное антитело используется как носитель радиоизотопа, этот изотоп следует указывать первым в группировочном наименовании (например, технеция (</w:t>
      </w:r>
      <w:r>
        <w:rPr>
          <w:rFonts w:ascii="Times New Roman"/>
          <w:b w:val="false"/>
          <w:i w:val="false"/>
          <w:color w:val="000000"/>
          <w:vertAlign w:val="superscript"/>
        </w:rPr>
        <w:t>99m</w:t>
      </w:r>
      <w:r>
        <w:rPr>
          <w:rFonts w:ascii="Times New Roman"/>
          <w:b w:val="false"/>
          <w:i w:val="false"/>
          <w:color w:val="000000"/>
          <w:sz w:val="28"/>
        </w:rPr>
        <w:t>Tc) пинтумомаб (</w:t>
      </w:r>
      <w:r>
        <w:rPr>
          <w:rFonts w:ascii="Times New Roman"/>
          <w:b w:val="false"/>
          <w:i/>
          <w:color w:val="000000"/>
          <w:sz w:val="28"/>
        </w:rPr>
        <w:t>Pintumomab</w:t>
      </w:r>
      <w:r>
        <w:rPr>
          <w:rFonts w:ascii="Times New Roman"/>
          <w:b w:val="false"/>
          <w:i w:val="false"/>
          <w:color w:val="000000"/>
          <w:sz w:val="28"/>
        </w:rPr>
        <w:t>)).</w:t>
      </w:r>
    </w:p>
    <w:bookmarkEnd w:id="138"/>
    <w:bookmarkStart w:name="z145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VI. Составление группировочных наименований иммунологических действующих веществ (за исключением моноклональных антител)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Группировочное наименование биологического лекарственного препарата начинается с группы наименований ("Вакцина", "Анатоксин", "Сыворотка", "Иммуноглобулин", "Пробиотик", "Бактериофаг", "Аллерген", "Аллергоид" и т. д.).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Для групп "Вакцины" и "Анатоксины" в группировочном наименовании препарата после слова, обозначающего принадлежность к группе ("Вакцина" или "Анатоксин") указываются: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инфекция или инфекции для профилактики которых предназначен препарат (например, "Вакцина для профилактики дифтерии" или "Вакцина для профилактики менингококковой инфекции серотипа "А");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биологическое состояние (для вакцин) ("живая", "инактивированная");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структура антигена (например, "полисахаридная", цельноклеточная", "химическая");</w:t>
      </w:r>
    </w:p>
    <w:bookmarkEnd w:id="144"/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метод получения (например, "адсорбированная", "коньюгированная").</w:t>
      </w:r>
    </w:p>
    <w:bookmarkEnd w:id="145"/>
    <w:bookmarkStart w:name="z15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Для групп "Антитоксины" (сыворотки) и "Иммуноглобулины" в группировочном наименовании после слова, обозначающего принадлежность к группе ("Антитоксин" (сыворотка), "Иммуноглобулин") указываются:</w:t>
      </w:r>
    </w:p>
    <w:bookmarkEnd w:id="146"/>
    <w:bookmarkStart w:name="z1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для антитоксина (сыворотки) – название бактериального токсина и видовая принадлежность (например, "Антитоксин столбнячный лошадиный", "Антитоксин против яда гадюки лошадиный");</w:t>
      </w:r>
    </w:p>
    <w:bookmarkEnd w:id="147"/>
    <w:bookmarkStart w:name="z15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для иммуноглобулина, содержащего антитела различной специфичности в отношении различных антигенов – видовая принадлежность (человек) и слово "нормальный" (например, "Иммуноглобулин человека нормальный");</w:t>
      </w:r>
    </w:p>
    <w:bookmarkEnd w:id="148"/>
    <w:bookmarkStart w:name="z15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для иммуноглобулина, содержащего антитела к возбудителю определенной инфекции – видовая принадлежность (человек, животное), инфекция, против которой используется препарат, в форме прилагательного с приставкой "противо-" или "анти-" или предлога "против" (например, "Иммуноглобулин человека против клещевого энцефалита", "Иммуноглобулин человека антицитомегаловирусный", "Иммуноглобулин человека противостафилококковый", "Иммуноглобулин противосибиреязвенный лошадиный);</w:t>
      </w:r>
    </w:p>
    <w:bookmarkEnd w:id="149"/>
    <w:bookmarkStart w:name="z15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для иммуноглобулинов специальных – видовая принадлежность (человек, животное) заболевание (показание), при котором используется препарат (например, "Иммуноглобулин человека антирезус Rho[D], "Иммуноглобулин человека противоаллергический", "Иммуноглобулин антитимоцитарный кроличий", "Иммуноглобулин антитимоцитарный лошадиный").</w:t>
      </w:r>
    </w:p>
    <w:bookmarkEnd w:id="150"/>
    <w:bookmarkStart w:name="z15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Для группы "Пробиотики" в группировочном наименовании после наименования группы указываются:</w:t>
      </w:r>
    </w:p>
    <w:bookmarkEnd w:id="151"/>
    <w:bookmarkStart w:name="z15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 для препарата, полученного из бактерий одного штамма – родовое и видовое наименование бактерий на русском языке в родительном падеже множественного числа (например, "бифидобактерий бифидум", "бактерий кишечной палочки"); </w:t>
      </w:r>
    </w:p>
    <w:bookmarkEnd w:id="152"/>
    <w:bookmarkStart w:name="z15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 для препарата, полученного из бактерий нескольких штаммов одного вида – родовое и видовое наименование бактерий на русском языке в родительном падеже множественного числа (например, "лактобактерий ацидофильных"); </w:t>
      </w:r>
    </w:p>
    <w:bookmarkEnd w:id="153"/>
    <w:bookmarkStart w:name="z16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для препарата, полученного из бактерий нескольких штаммов разных видов одного и того же рода – родовое наименование бактерий на русском языке в родительном падеже множественного числа (например, "лактобактерий", "бифидобактерий");</w:t>
      </w:r>
    </w:p>
    <w:bookmarkEnd w:id="154"/>
    <w:bookmarkStart w:name="z16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для препарата, полученного из бактерий разных родов и видов – родовое и видовое наименования бактерий на русском языке в родительном падеже множественного числа, через знак "+" (например, "бифидобактерий бифидум + кишечной палочки");</w:t>
      </w:r>
    </w:p>
    <w:bookmarkEnd w:id="155"/>
    <w:bookmarkStart w:name="z16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д) для препарата, полученного на основе бактерий одного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штамма – слово "однокомпонентный";</w:t>
      </w:r>
    </w:p>
    <w:bookmarkEnd w:id="156"/>
    <w:bookmarkStart w:name="z16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 для препарата, полученного на основе бактерий нескольких штаммов (видов, родов) – слово "многокомпонентный";</w:t>
      </w:r>
    </w:p>
    <w:bookmarkEnd w:id="157"/>
    <w:bookmarkStart w:name="z16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 для препарата, полученного из бактерий сорбированных на частицах активированного угля, кремния диоксида коллоидного или других сорбентах – указывают слово "сорбированный";</w:t>
      </w:r>
    </w:p>
    <w:bookmarkEnd w:id="158"/>
    <w:bookmarkStart w:name="z16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 для препарата, в состав которого помимо бактерий входят активные компоненты иной природы (например, лизоцим, витамины, микроэлементы, гормоны и т. д.) – слово "комбинированный".</w:t>
      </w:r>
    </w:p>
    <w:bookmarkEnd w:id="159"/>
    <w:bookmarkStart w:name="z16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Для группы "Бактериофаги" в группировочном наименовании после слова, обозначающего принадлежность к группе ("Бактериофаг") указываются:</w:t>
      </w:r>
    </w:p>
    <w:bookmarkEnd w:id="160"/>
    <w:bookmarkStart w:name="z16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 для препарата, полученного на основе лизатов бактерий одного рода, лизируемых бактериофагами – наименование лизируемого рода бактерий на русском языке (например, "бактерий клебсиелл", "бактерий протея", "бактерий стафилококка"); </w:t>
      </w:r>
    </w:p>
    <w:bookmarkEnd w:id="161"/>
    <w:bookmarkStart w:name="z16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 для препарата, полученного на основе лизатов бактерий нескольких родов, лизируемых бактериофагами, – наименования всех родов лизируемых бактерий на русском языке через знак "+" (например, "бактерий кишечной палочки + протея"); </w:t>
      </w:r>
    </w:p>
    <w:bookmarkEnd w:id="162"/>
    <w:bookmarkStart w:name="z16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для препарата, полученного на основе бактерий одного рода – слово "однокомпонентный";</w:t>
      </w:r>
    </w:p>
    <w:bookmarkEnd w:id="163"/>
    <w:bookmarkStart w:name="z17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для препарата, полученного на основе бактерий нескольких родов – слово "многокомпонентный".</w:t>
      </w:r>
    </w:p>
    <w:bookmarkEnd w:id="164"/>
    <w:bookmarkStart w:name="z17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Для групп "Аллергены" и "Аллергоиды" в группировочном наименовании после слова, обозначающего принадлежность к группе ("Аллерген", "Аллергоид") указываеются:</w:t>
      </w:r>
    </w:p>
    <w:bookmarkEnd w:id="165"/>
    <w:bookmarkStart w:name="z17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для монопрепаратов – наименование источника выделения (например, "из апельсина", "домашней пыли", "из шерсти морской свинки") или инфекция, против которой используется препарат в форме прилагательного (например, "туляремийный", "туберкулезный" и т. д.);</w:t>
      </w:r>
    </w:p>
    <w:bookmarkEnd w:id="166"/>
    <w:bookmarkStart w:name="z17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для многокомпонентных аллергенов (аллергоидов) – наименование нескольких источников выделения с приставкой "</w:t>
      </w:r>
      <w:r>
        <w:rPr>
          <w:rFonts w:ascii="Times New Roman"/>
          <w:b w:val="false"/>
          <w:i/>
          <w:color w:val="000000"/>
          <w:sz w:val="28"/>
        </w:rPr>
        <w:t>микст-</w:t>
      </w:r>
      <w:r>
        <w:rPr>
          <w:rFonts w:ascii="Times New Roman"/>
          <w:b w:val="false"/>
          <w:i w:val="false"/>
          <w:color w:val="000000"/>
          <w:sz w:val="28"/>
        </w:rPr>
        <w:t xml:space="preserve">" перед наименованием группы (например, "Микст-аллерген клеща Дерматофагоидес птерониссинус + домашней пыли", "Микст-аллерген подсолнечника + сорных трав", "Микст-аллергоид пыльцевой березы + лещины + ольхи"), расположенных в алфавитном порядке через знак "+" (например, если в состав входит пыльца нескольких полевых трав, группировочное наименование формируется из родового и при необходимости видового наименований лекарственных растений на русском языке); </w:t>
      </w:r>
    </w:p>
    <w:bookmarkEnd w:id="167"/>
    <w:bookmarkStart w:name="z17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назначение применения с предлогом "для": "для диагностики", "для диагностики и лечения", "для лечения", (например, "Аллерген пищевой из апельсина для диагностики", "Аллергоид пыльцевой ежи сборной для лечения", "Аллерген из пыли березы висячей для диагностики и лечения").</w:t>
      </w:r>
    </w:p>
    <w:bookmarkEnd w:id="168"/>
    <w:bookmarkStart w:name="z175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VII. Составление группировочных наименований для высокотехнологичных лекарственных препаратов</w:t>
      </w:r>
    </w:p>
    <w:bookmarkEnd w:id="169"/>
    <w:bookmarkStart w:name="z176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Генотерапевтические лекарственные препараты</w:t>
      </w:r>
    </w:p>
    <w:bookmarkEnd w:id="170"/>
    <w:bookmarkStart w:name="z17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Группировочное наименование генотерапевтических лекарственных препаратов состоит из двух слов, обозначающих генный и векторный компоненты.</w:t>
      </w:r>
    </w:p>
    <w:bookmarkEnd w:id="171"/>
    <w:bookmarkStart w:name="z17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Для генетического компонента указываются:</w:t>
      </w:r>
    </w:p>
    <w:bookmarkEnd w:id="172"/>
    <w:bookmarkStart w:name="z17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случайный префикс, для обеспечения отличительного наименования, например:</w:t>
      </w:r>
    </w:p>
    <w:bookmarkEnd w:id="173"/>
    <w:bookmarkStart w:name="z18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ал</w:t>
      </w:r>
      <w:r>
        <w:rPr>
          <w:rFonts w:ascii="Times New Roman"/>
          <w:b w:val="false"/>
          <w:i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74"/>
    <w:bookmarkStart w:name="z18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бет</w:t>
      </w:r>
      <w:r>
        <w:rPr>
          <w:rFonts w:ascii="Times New Roman"/>
          <w:b w:val="false"/>
          <w:i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75"/>
    <w:bookmarkStart w:name="z18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вал</w:t>
      </w:r>
      <w:r>
        <w:rPr>
          <w:rFonts w:ascii="Times New Roman"/>
          <w:b w:val="false"/>
          <w:i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76"/>
    <w:bookmarkStart w:name="z18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инфикс для идентификации гена (по возможности необходимо использовать существующие основы для других биологических продуктов), например:</w:t>
      </w:r>
    </w:p>
    <w:bookmarkEnd w:id="177"/>
    <w:bookmarkStart w:name="z18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-</w:t>
      </w:r>
      <w:r>
        <w:rPr>
          <w:rFonts w:ascii="Times New Roman"/>
          <w:b w:val="false"/>
          <w:i/>
          <w:color w:val="000000"/>
          <w:sz w:val="28"/>
        </w:rPr>
        <w:t>ермин</w:t>
      </w:r>
      <w:r>
        <w:rPr>
          <w:rFonts w:ascii="Times New Roman"/>
          <w:b w:val="false"/>
          <w:i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(фактор роста);</w:t>
      </w:r>
    </w:p>
    <w:bookmarkEnd w:id="178"/>
    <w:bookmarkStart w:name="z18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-</w:t>
      </w:r>
      <w:r>
        <w:rPr>
          <w:rFonts w:ascii="Times New Roman"/>
          <w:b w:val="false"/>
          <w:i/>
          <w:color w:val="000000"/>
          <w:sz w:val="28"/>
        </w:rPr>
        <w:t>стим</w:t>
      </w:r>
      <w:r>
        <w:rPr>
          <w:rFonts w:ascii="Times New Roman"/>
          <w:b w:val="false"/>
          <w:i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(колониестимулирующие факторы);</w:t>
      </w:r>
    </w:p>
    <w:bookmarkEnd w:id="179"/>
    <w:bookmarkStart w:name="z18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-</w:t>
      </w:r>
      <w:r>
        <w:rPr>
          <w:rFonts w:ascii="Times New Roman"/>
          <w:b w:val="false"/>
          <w:i/>
          <w:color w:val="000000"/>
          <w:sz w:val="28"/>
        </w:rPr>
        <w:t>октоког</w:t>
      </w:r>
      <w:r>
        <w:rPr>
          <w:rFonts w:ascii="Times New Roman"/>
          <w:b w:val="false"/>
          <w:i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(фактор свертывания крови VIII);</w:t>
      </w:r>
    </w:p>
    <w:bookmarkEnd w:id="180"/>
    <w:bookmarkStart w:name="z18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гласный суффикс, например -(о) гена;</w:t>
      </w:r>
    </w:p>
    <w:bookmarkEnd w:id="181"/>
    <w:bookmarkStart w:name="z18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Для векторного компонента указываются:</w:t>
      </w:r>
    </w:p>
    <w:bookmarkEnd w:id="182"/>
    <w:bookmarkStart w:name="z18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случайный префикс, для обеспечения отличительного наименования;</w:t>
      </w:r>
    </w:p>
    <w:bookmarkEnd w:id="183"/>
    <w:bookmarkStart w:name="z19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инфикс для идентификации вектора, например:</w:t>
      </w:r>
    </w:p>
    <w:bookmarkEnd w:id="184"/>
    <w:bookmarkStart w:name="z19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-</w:t>
      </w:r>
      <w:r>
        <w:rPr>
          <w:rFonts w:ascii="Times New Roman"/>
          <w:b w:val="false"/>
          <w:i/>
          <w:color w:val="000000"/>
          <w:sz w:val="28"/>
        </w:rPr>
        <w:t>адено</w:t>
      </w:r>
      <w:r>
        <w:rPr>
          <w:rFonts w:ascii="Times New Roman"/>
          <w:b w:val="false"/>
          <w:i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(аденовирус);</w:t>
      </w:r>
    </w:p>
    <w:bookmarkEnd w:id="185"/>
    <w:bookmarkStart w:name="z19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-</w:t>
      </w:r>
      <w:r>
        <w:rPr>
          <w:rFonts w:ascii="Times New Roman"/>
          <w:b w:val="false"/>
          <w:i/>
          <w:color w:val="000000"/>
          <w:sz w:val="28"/>
        </w:rPr>
        <w:t>ленти</w:t>
      </w:r>
      <w:r>
        <w:rPr>
          <w:rFonts w:ascii="Times New Roman"/>
          <w:b w:val="false"/>
          <w:i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(лентивирус);</w:t>
      </w:r>
    </w:p>
    <w:bookmarkEnd w:id="186"/>
    <w:bookmarkStart w:name="z19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-</w:t>
      </w:r>
      <w:r>
        <w:rPr>
          <w:rFonts w:ascii="Times New Roman"/>
          <w:b w:val="false"/>
          <w:i/>
          <w:color w:val="000000"/>
          <w:sz w:val="28"/>
        </w:rPr>
        <w:t>парво</w:t>
      </w:r>
      <w:r>
        <w:rPr>
          <w:rFonts w:ascii="Times New Roman"/>
          <w:b w:val="false"/>
          <w:i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(аденоассоциировайный вирус)</w:t>
      </w:r>
    </w:p>
    <w:bookmarkEnd w:id="187"/>
    <w:bookmarkStart w:name="z19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-ретро-</w:t>
      </w:r>
      <w:r>
        <w:rPr>
          <w:rFonts w:ascii="Times New Roman"/>
          <w:b w:val="false"/>
          <w:i w:val="false"/>
          <w:color w:val="000000"/>
          <w:sz w:val="28"/>
        </w:rPr>
        <w:t xml:space="preserve"> (ретровирус);</w:t>
      </w:r>
    </w:p>
    <w:bookmarkEnd w:id="188"/>
    <w:bookmarkStart w:name="z19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суффикс для обозначения репликативных свойств:</w:t>
      </w:r>
    </w:p>
    <w:bookmarkEnd w:id="189"/>
    <w:bookmarkStart w:name="z19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-век</w:t>
      </w:r>
      <w:r>
        <w:rPr>
          <w:rFonts w:ascii="Times New Roman"/>
          <w:b w:val="false"/>
          <w:i w:val="false"/>
          <w:color w:val="000000"/>
          <w:sz w:val="28"/>
        </w:rPr>
        <w:t xml:space="preserve"> (для нерепликативных векторов);</w:t>
      </w:r>
    </w:p>
    <w:bookmarkEnd w:id="190"/>
    <w:bookmarkStart w:name="z19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-</w:t>
      </w:r>
      <w:r>
        <w:rPr>
          <w:rFonts w:ascii="Times New Roman"/>
          <w:b w:val="false"/>
          <w:i/>
          <w:color w:val="000000"/>
          <w:sz w:val="28"/>
        </w:rPr>
        <w:t>репвек</w:t>
      </w:r>
      <w:r>
        <w:rPr>
          <w:rFonts w:ascii="Times New Roman"/>
          <w:b w:val="false"/>
          <w:i w:val="false"/>
          <w:color w:val="000000"/>
          <w:sz w:val="28"/>
        </w:rPr>
        <w:t xml:space="preserve"> (для репликативных векторов);</w:t>
      </w:r>
    </w:p>
    <w:bookmarkEnd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г) для плазмидных векторов </w:t>
      </w:r>
      <w:r>
        <w:rPr>
          <w:rFonts w:ascii="Times New Roman"/>
          <w:b w:val="false"/>
          <w:i/>
          <w:color w:val="000000"/>
          <w:sz w:val="28"/>
        </w:rPr>
        <w:t xml:space="preserve">- </w:t>
      </w:r>
      <w:r>
        <w:rPr>
          <w:rFonts w:ascii="Times New Roman"/>
          <w:b w:val="false"/>
          <w:i/>
          <w:color w:val="000000"/>
          <w:sz w:val="28"/>
        </w:rPr>
        <w:t>плазмид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198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Препараты клеточной терапии</w:t>
      </w:r>
    </w:p>
    <w:bookmarkEnd w:id="192"/>
    <w:bookmarkStart w:name="z19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Для составления группировочных наименований лекарственных препаратов на основе соматических клеток применяется следующая схема:</w:t>
      </w:r>
    </w:p>
    <w:bookmarkEnd w:id="193"/>
    <w:bookmarkStart w:name="z20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указание общей основы </w:t>
      </w:r>
      <w:r>
        <w:rPr>
          <w:rFonts w:ascii="Times New Roman"/>
          <w:b w:val="false"/>
          <w:i/>
          <w:color w:val="000000"/>
          <w:sz w:val="28"/>
        </w:rPr>
        <w:t>-сел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94"/>
    <w:bookmarkStart w:name="z20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указание рандомного префикса, например:</w:t>
      </w:r>
    </w:p>
    <w:bookmarkEnd w:id="195"/>
    <w:bookmarkStart w:name="z20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ал</w:t>
      </w:r>
      <w:r>
        <w:rPr>
          <w:rFonts w:ascii="Times New Roman"/>
          <w:b w:val="false"/>
          <w:i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96"/>
    <w:bookmarkStart w:name="z20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бет</w:t>
      </w:r>
      <w:r>
        <w:rPr>
          <w:rFonts w:ascii="Times New Roman"/>
          <w:b w:val="false"/>
          <w:i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97"/>
    <w:bookmarkStart w:name="z20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вал</w:t>
      </w:r>
      <w:r>
        <w:rPr>
          <w:rFonts w:ascii="Times New Roman"/>
          <w:b w:val="false"/>
          <w:i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98"/>
    <w:bookmarkStart w:name="z20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добавление первого инфикса обозначающего проводимые манипуляции с клетками, за исключением использования цитокинов (препаратов для активации), например:</w:t>
      </w:r>
    </w:p>
    <w:bookmarkEnd w:id="199"/>
    <w:bookmarkStart w:name="z20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-ген-</w:t>
      </w:r>
      <w:r>
        <w:rPr>
          <w:rFonts w:ascii="Times New Roman"/>
          <w:b w:val="false"/>
          <w:i w:val="false"/>
          <w:color w:val="000000"/>
          <w:sz w:val="28"/>
        </w:rPr>
        <w:t xml:space="preserve"> (для генетически модифицированных клеток);</w:t>
      </w:r>
    </w:p>
    <w:bookmarkEnd w:id="200"/>
    <w:bookmarkStart w:name="z20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-</w:t>
      </w:r>
      <w:r>
        <w:rPr>
          <w:rFonts w:ascii="Times New Roman"/>
          <w:b w:val="false"/>
          <w:i/>
          <w:color w:val="000000"/>
          <w:sz w:val="28"/>
        </w:rPr>
        <w:t>фус</w:t>
      </w:r>
      <w:r>
        <w:rPr>
          <w:rFonts w:ascii="Times New Roman"/>
          <w:b w:val="false"/>
          <w:i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(слияние с клеткой).</w:t>
      </w:r>
    </w:p>
    <w:bookmarkEnd w:id="201"/>
    <w:bookmarkStart w:name="z20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Может быть несколько первых инфиксов в случае различных проводимых манипуляций с клетками.</w:t>
      </w:r>
    </w:p>
    <w:bookmarkEnd w:id="202"/>
    <w:bookmarkStart w:name="z20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добавление второго инфикса, обозначающего вид клеток, например:</w:t>
      </w:r>
    </w:p>
    <w:bookmarkEnd w:id="203"/>
    <w:bookmarkStart w:name="z21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-</w:t>
      </w:r>
      <w:r>
        <w:rPr>
          <w:rFonts w:ascii="Times New Roman"/>
          <w:b w:val="false"/>
          <w:i/>
          <w:color w:val="000000"/>
          <w:sz w:val="28"/>
        </w:rPr>
        <w:t>ден</w:t>
      </w:r>
      <w:r>
        <w:rPr>
          <w:rFonts w:ascii="Times New Roman"/>
          <w:b w:val="false"/>
          <w:i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(дендритные летки);</w:t>
      </w:r>
    </w:p>
    <w:bookmarkEnd w:id="204"/>
    <w:bookmarkStart w:name="z21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-мио(б)-</w:t>
      </w:r>
      <w:r>
        <w:rPr>
          <w:rFonts w:ascii="Times New Roman"/>
          <w:b w:val="false"/>
          <w:i w:val="false"/>
          <w:color w:val="000000"/>
          <w:sz w:val="28"/>
        </w:rPr>
        <w:t xml:space="preserve"> (миобласты);</w:t>
      </w:r>
    </w:p>
    <w:bookmarkEnd w:id="205"/>
    <w:bookmarkStart w:name="z21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-фи(б)-</w:t>
      </w:r>
      <w:r>
        <w:rPr>
          <w:rFonts w:ascii="Times New Roman"/>
          <w:b w:val="false"/>
          <w:i w:val="false"/>
          <w:color w:val="000000"/>
          <w:sz w:val="28"/>
        </w:rPr>
        <w:t xml:space="preserve"> (фибробласты);</w:t>
      </w:r>
    </w:p>
    <w:bookmarkEnd w:id="206"/>
    <w:bookmarkStart w:name="z21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-</w:t>
      </w:r>
      <w:r>
        <w:rPr>
          <w:rFonts w:ascii="Times New Roman"/>
          <w:b w:val="false"/>
          <w:i/>
          <w:color w:val="000000"/>
          <w:sz w:val="28"/>
        </w:rPr>
        <w:t>кер</w:t>
      </w:r>
      <w:r>
        <w:rPr>
          <w:rFonts w:ascii="Times New Roman"/>
          <w:b w:val="false"/>
          <w:i/>
          <w:color w:val="000000"/>
          <w:sz w:val="28"/>
        </w:rPr>
        <w:t>(а)-</w:t>
      </w:r>
      <w:r>
        <w:rPr>
          <w:rFonts w:ascii="Times New Roman"/>
          <w:b w:val="false"/>
          <w:i w:val="false"/>
          <w:color w:val="000000"/>
          <w:sz w:val="28"/>
        </w:rPr>
        <w:t xml:space="preserve"> (кератиноциты);</w:t>
      </w:r>
    </w:p>
    <w:bookmarkEnd w:id="207"/>
    <w:bookmarkStart w:name="z21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тип используемых клеток (аутологичный, аллогенный и ксеногенный) рекомендуется указывать в торговом наименовании.</w:t>
      </w:r>
    </w:p>
    <w:bookmarkEnd w:id="208"/>
    <w:bookmarkStart w:name="z215" w:id="2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VIII. Составление группировочных наименований лекарственных растительных препаратов</w:t>
      </w:r>
    </w:p>
    <w:bookmarkEnd w:id="209"/>
    <w:bookmarkStart w:name="z21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Группировочное наименование лекарственных растительных препаратов, представляющих собой фасованное лекарственное растительное сырье, и лекарственных растительных препаратов в лекарственной форме "гранулы резано-прессованные", произведенных из лекарственного растения одного рода (однокомпонентные препараты), включает в себя родовое и видовое наименования производящего растения на русском языке и на государственных языках государств-членов с указанием морфологической группы используемой части растения (например, "Календулы лекарственной цветки", "Зверобоя продырявленного трава").</w:t>
      </w:r>
    </w:p>
    <w:bookmarkEnd w:id="210"/>
    <w:bookmarkStart w:name="z21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Если для производства лекарственных растительных препаратов, представляющих собой фасованное лекарственное растительное сырье, соответствующей статьей Фармакопеи Евразийского экономического союза (а при отсутствии в ней – соответствующими статьями фармакопей государств-членов) предусмотрено использование нескольких видов одного и того же рода производящего растения, группировочное наименование формируется только из родового наименования производящего растения (например, "Боярышника плоды", "Боярышника цветки").</w:t>
      </w:r>
    </w:p>
    <w:bookmarkEnd w:id="211"/>
    <w:bookmarkStart w:name="z21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Если разные виды лекарственного растения, относящегося к одному и тому же роду, обуславливают получение лекарственных препаратов с разным спектром фармакологического действия, в группировочное наименование помимо родового включается видовое наименование производящего растения.</w:t>
      </w:r>
    </w:p>
    <w:bookmarkEnd w:id="212"/>
    <w:bookmarkStart w:name="z21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Например, для лекарственных растительных препаратов, производимых из лекарственного растительного сырья с одинаковым родовым наименованием ("Горец"), но обладающих различным фармакологическим действием в группировочных наименованиях необходимо указывать и видовое название: "Горца перечного трава" – для лекарственных препаратов с гемостатическим действием и "Горца птичьего трава" – для лекарственных препаратов с диуретическим действием.</w:t>
      </w:r>
    </w:p>
    <w:bookmarkEnd w:id="213"/>
    <w:bookmarkStart w:name="z22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Если в составе лекарственного средства растительного происхождения в качестве активного компонента выделяется комплекс определенной группы биологически активных веществ одинакового фармакологического действия, группировочное наименование включает в себя родовое и при необходимости видовое наименования производящего растения на русском языке и на государственных языках государств-членов, а также наименование извлекаемой суммы биологически активных веществ (например: группировочное наименование лекарственного средства "Фламин" – "Бессмертника песчаного цветков сумма флавоноидов").</w:t>
      </w:r>
    </w:p>
    <w:bookmarkEnd w:id="214"/>
    <w:bookmarkStart w:name="z22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Если в составе лекарственного средства в качестве активного компонента выделяется индивидуальное вещество растительного происхождения, при отсутствии международного непатентованного наименования этого вещества, лекарственному средству присваивается группировочное наименование выделенного индивидуального вещества (например, "Гесперидин").</w:t>
      </w:r>
    </w:p>
    <w:bookmarkEnd w:id="215"/>
    <w:bookmarkStart w:name="z22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Группировочные наименования лекарственных средств в лекарственной форме "настойки", "экстракты жидкие", "соки", включают в себя родовое и, при необходимости, видовое наименования производящего растения на русском языке и на государственных языках государств-членов с указанием морфологической группы используемой части растения а также вида полученного продукта (настойка, экстракт, сок), например:</w:t>
      </w:r>
    </w:p>
    <w:bookmarkEnd w:id="216"/>
    <w:bookmarkStart w:name="z22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группировочное наименование лекарственного препарата с торговым наименованием "Валерианы настойка" – "Валерианы лекарственной корневищ с корнями настойка";</w:t>
      </w:r>
    </w:p>
    <w:bookmarkEnd w:id="217"/>
    <w:bookmarkStart w:name="z22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группировочное наименование лекарственного препарата с торговым наименованием "Ромашки экстракт жидкий" – "Ромашки аптечной цветков экстракт".</w:t>
      </w:r>
    </w:p>
    <w:bookmarkEnd w:id="218"/>
    <w:bookmarkStart w:name="z22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Группировочные наименования сборов и других многокомпонентных лекарственных препаратов, полученных из лекарственного растительного сырья или на основе растительных фармацевтических субстанций, составляются из группировочных наименований лекарственного растительного сырья или растительных фармацевтических субстанций, расположенных в алфавитном порядке через знак "+" (если их 3 и менее). Если в составе многокомпонентного лекарственного препарата более 3 наименований лекарственного растительного сырья или растительных фармацевтических субстанций, допускается не присваивать таким многокомпонентным лекарственным препаратам группировочные наименования. При этом, если в качестве растительной фармацевтической субстанции используются настойка, экстракт, сок и т. д., группировочное наименование такой субстанции состоит из родового и при необходимости видового наименований лекарственного растения русском языке и на государственных языках государств-членов, а также названия полученного продукта (настойка, экстракт, сок и т. д.). Например:</w:t>
      </w:r>
    </w:p>
    <w:bookmarkEnd w:id="219"/>
    <w:bookmarkStart w:name="z22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группировочное наименование препарата с торговым наименованием "Витаминный сбор № 2", состоящего из измельченных плодов кустарников различных видов шиповника и цельных плодов рябины – "Рябины обыкновенной плоды + Шиповника плоды";</w:t>
      </w:r>
    </w:p>
    <w:bookmarkEnd w:id="220"/>
    <w:bookmarkStart w:name="z22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группировочное наименование препарата с торговым наименованием "Грудной сбор № 1", состоящего из корней алтея лекарственного и алтея армянского, листьев мать-и-мачехи и травы душицы – "Алтея корни +Душицы обыкновенной трава + Мать-и-мачехи обыкновенной листья";</w:t>
      </w:r>
    </w:p>
    <w:bookmarkEnd w:id="221"/>
    <w:bookmarkStart w:name="z22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группировочное наименование лекарственного препарата с торговым наименованием "Ландышево-валериановые капли, капли для приема внутрь", состоящего из ландыша настойки и валерианы настойки, по наименованию активных компонентов − "Валерианы лекарственной корневищ с корнями настойка + Ландыша травы настойка";</w:t>
      </w:r>
    </w:p>
    <w:bookmarkEnd w:id="222"/>
    <w:bookmarkStart w:name="z22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препарату с торговым наименованием "Грудной сбор № 4", состоящего из побегов багульника болотного, цветков календулы лекарственной, листьев мяты перечной, цветков ромашки аптечной, корней солодки голой, травы фиалки трехцветной, группировочное наименование может не присваиваться и заменяться в заявлении на регистрацию такого препарата указанием "не применимо".</w:t>
      </w:r>
    </w:p>
    <w:bookmarkEnd w:id="223"/>
    <w:bookmarkStart w:name="z23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 Если для производства лекарственного препарата используются растительные фармацевтические субстанции (препараты на основе лекарственного растительного сырья), а также фармацевтические субстанции с присвоенными международными непатентованными наименованиями (при наличии) (группировочным наименованием, химическим наименованием), то группировочное наименование лекарственного препарата состоит из группировочных наименований растительных фармацевтических субстанций и международного непатентованного наименования, или группировочного наименования, или химического наименования фармацевтической субстанции, расположенных в алфавитном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порядке через знак "+". Например, группировочное наименование лекарственного препарата с торговым наименованием "Корвалол Фито", в состав которого входят мяты перечной листьев масло, пустырника травы экстракт и этилбромизовалерианат, "Мяты перечной листьев масло + Пустырника травы экстракт + Этилбромизовалерианат".</w:t>
      </w:r>
    </w:p>
    <w:bookmarkEnd w:id="2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