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b6ad" w14:textId="7f6b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производству готовых лекарственных форм лекарственных препаратов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29 января 2019 года № 3.</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Договора о Евразийском экономическом союзе от 29 мая 2014 года, пунктом 3 статьи 3 Соглашения о единых принципах и правилах обращения лекарственных средств в рамках Евразийского экономического союза от 23 декабря 2014 года,</w:t>
      </w:r>
    </w:p>
    <w:bookmarkEnd w:id="0"/>
    <w:bookmarkStart w:name="z5" w:id="1"/>
    <w:p>
      <w:pPr>
        <w:spacing w:after="0"/>
        <w:ind w:left="0"/>
        <w:jc w:val="both"/>
      </w:pPr>
      <w:r>
        <w:rPr>
          <w:rFonts w:ascii="Times New Roman"/>
          <w:b w:val="false"/>
          <w:i w:val="false"/>
          <w:color w:val="000000"/>
          <w:sz w:val="28"/>
        </w:rPr>
        <w:t>
      в целях гармонизации законодательства государств – членов Евразийского экономического союза в сфере обращения лекарственных средств для устранения различий в требованиях, предъявляемых к процессам производства готовых лекарственных форм лекарственных препаратов,</w:t>
      </w:r>
    </w:p>
    <w:bookmarkEnd w:id="1"/>
    <w:bookmarkStart w:name="z6" w:id="2"/>
    <w:p>
      <w:pPr>
        <w:spacing w:after="0"/>
        <w:ind w:left="0"/>
        <w:jc w:val="both"/>
      </w:pPr>
      <w:r>
        <w:rPr>
          <w:rFonts w:ascii="Times New Roman"/>
          <w:b w:val="false"/>
          <w:i w:val="false"/>
          <w:color w:val="000000"/>
          <w:sz w:val="28"/>
        </w:rPr>
        <w:t xml:space="preserve">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детализации информации, содержащей описание процесса производства готовых лекарственных форм лекарственных препаратов в целях их регистрации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а также при внесении изменений в регистрационные досье лекарственных препаратов и приведении регистрационных досье лекарственных препаратов в соответствие с указанными Правилами применять Руководство по производству готовых лекарственных форм лекарственных препаратов согласно приложению. При этом исходить из того, что в случае, если реализация положений указанного Руководства осуществляется в соответствии с актами Евразийской экономической комиссии, применение таких положений осуществляется с даты начала применения соответствующих актов.</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29 января 2019 г. № 3</w:t>
            </w:r>
          </w:p>
        </w:tc>
      </w:tr>
    </w:tbl>
    <w:bookmarkStart w:name="z9" w:id="3"/>
    <w:p>
      <w:pPr>
        <w:spacing w:after="0"/>
        <w:ind w:left="0"/>
        <w:jc w:val="left"/>
      </w:pPr>
      <w:r>
        <w:rPr>
          <w:rFonts w:ascii="Times New Roman"/>
          <w:b/>
          <w:i w:val="false"/>
          <w:color w:val="000000"/>
        </w:rPr>
        <w:t xml:space="preserve"> РУКОВОДСТВО </w:t>
      </w:r>
      <w:r>
        <w:br/>
      </w:r>
      <w:r>
        <w:rPr>
          <w:rFonts w:ascii="Times New Roman"/>
          <w:b/>
          <w:i w:val="false"/>
          <w:color w:val="000000"/>
        </w:rPr>
        <w:t>по производству готовых лекарственных форм лекарственных препаратов</w:t>
      </w:r>
    </w:p>
    <w:bookmarkEnd w:id="3"/>
    <w:bookmarkStart w:name="z10" w:id="4"/>
    <w:p>
      <w:pPr>
        <w:spacing w:after="0"/>
        <w:ind w:left="0"/>
        <w:jc w:val="left"/>
      </w:pPr>
      <w:r>
        <w:rPr>
          <w:rFonts w:ascii="Times New Roman"/>
          <w:b/>
          <w:i w:val="false"/>
          <w:color w:val="000000"/>
        </w:rPr>
        <w:t xml:space="preserve"> I. Общие положения</w:t>
      </w:r>
    </w:p>
    <w:bookmarkEnd w:id="4"/>
    <w:bookmarkStart w:name="z11" w:id="5"/>
    <w:p>
      <w:pPr>
        <w:spacing w:after="0"/>
        <w:ind w:left="0"/>
        <w:jc w:val="both"/>
      </w:pPr>
      <w:r>
        <w:rPr>
          <w:rFonts w:ascii="Times New Roman"/>
          <w:b w:val="false"/>
          <w:i w:val="false"/>
          <w:color w:val="000000"/>
          <w:sz w:val="28"/>
        </w:rPr>
        <w:t xml:space="preserve">
      1. Настоящее Руководство разработано в целях установления единых требований к представлению информации о процессе производства готовых лекарственных форм в разделе 3.2.P.3 модуля 3 регистрационного досье лекарственного препарата (далее – модуль 3 регистрационного досье), структура которого регламентирована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w:t>
      </w:r>
    </w:p>
    <w:bookmarkEnd w:id="5"/>
    <w:bookmarkStart w:name="z12" w:id="6"/>
    <w:p>
      <w:pPr>
        <w:spacing w:after="0"/>
        <w:ind w:left="0"/>
        <w:jc w:val="both"/>
      </w:pPr>
      <w:r>
        <w:rPr>
          <w:rFonts w:ascii="Times New Roman"/>
          <w:b w:val="false"/>
          <w:i w:val="false"/>
          <w:color w:val="000000"/>
          <w:sz w:val="28"/>
        </w:rPr>
        <w:t xml:space="preserve">
      2. Основные положения настоящего Руководства гармонизированы с порядком представления информации о производстве готовых лекарственных форм в регистрационном досье лекарственного препарата в формате общего технического документа с учетом современных технологий производства и различных подходов к производству. </w:t>
      </w:r>
    </w:p>
    <w:bookmarkEnd w:id="6"/>
    <w:bookmarkStart w:name="z13" w:id="7"/>
    <w:p>
      <w:pPr>
        <w:spacing w:after="0"/>
        <w:ind w:left="0"/>
        <w:jc w:val="both"/>
      </w:pPr>
      <w:r>
        <w:rPr>
          <w:rFonts w:ascii="Times New Roman"/>
          <w:b w:val="false"/>
          <w:i w:val="false"/>
          <w:color w:val="000000"/>
          <w:sz w:val="28"/>
        </w:rPr>
        <w:t xml:space="preserve">
      3. Настоящее Руководство разработано с учетом требований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 учитывает требования руководства по фармацевтической разработке лекарственных средств, утверждаемого Евразийской экономической комиссией (далее – Комиссия), и принципы управления рисками для качества, предусмотренные Правилами надлежащей производственной практики.</w:t>
      </w:r>
    </w:p>
    <w:bookmarkEnd w:id="7"/>
    <w:bookmarkStart w:name="z14" w:id="8"/>
    <w:p>
      <w:pPr>
        <w:spacing w:after="0"/>
        <w:ind w:left="0"/>
        <w:jc w:val="both"/>
      </w:pPr>
      <w:r>
        <w:rPr>
          <w:rFonts w:ascii="Times New Roman"/>
          <w:b w:val="false"/>
          <w:i w:val="false"/>
          <w:color w:val="000000"/>
          <w:sz w:val="28"/>
        </w:rPr>
        <w:t>
      4. Цель настоящего Руководства – отметить все аспекты процесса производства, которые имеют важное значение для заявителя и уполномоченных органов (экспертных организаций) в сфере обращения лекарственных средств государств – членов Евразийского экономического союза, разъяснить вид и степень детализации информации, которая содержит описание процесса производства готовых лекарственных форм лекарственных препаратов и которую необходимо включить в модуль 3 регистрационного досье, прилагаемого к заявлению о регистрации.</w:t>
      </w:r>
    </w:p>
    <w:bookmarkEnd w:id="8"/>
    <w:bookmarkStart w:name="z15" w:id="9"/>
    <w:p>
      <w:pPr>
        <w:spacing w:after="0"/>
        <w:ind w:left="0"/>
        <w:jc w:val="both"/>
      </w:pPr>
      <w:r>
        <w:rPr>
          <w:rFonts w:ascii="Times New Roman"/>
          <w:b w:val="false"/>
          <w:i w:val="false"/>
          <w:color w:val="000000"/>
          <w:sz w:val="28"/>
        </w:rPr>
        <w:t>
      5. В настоящем Руководстве также рассматривается применение требований Правил надлежащей производственной практики с точки зрения производства и системы поставок лекарственных препаратов с учетом нескольких (в том числе международных) производственных площадок.</w:t>
      </w:r>
    </w:p>
    <w:bookmarkEnd w:id="9"/>
    <w:bookmarkStart w:name="z16" w:id="10"/>
    <w:p>
      <w:pPr>
        <w:spacing w:after="0"/>
        <w:ind w:left="0"/>
        <w:jc w:val="both"/>
      </w:pPr>
      <w:r>
        <w:rPr>
          <w:rFonts w:ascii="Times New Roman"/>
          <w:b w:val="false"/>
          <w:i w:val="false"/>
          <w:color w:val="000000"/>
          <w:sz w:val="28"/>
        </w:rPr>
        <w:t xml:space="preserve">
      6. Настоящее Руководство не устанавливает новые требования к зарегистрированным лекарственным препаратам. После регистрации держатель регистрационного удостоверения в соответствии с </w:t>
      </w:r>
      <w:r>
        <w:rPr>
          <w:rFonts w:ascii="Times New Roman"/>
          <w:b w:val="false"/>
          <w:i w:val="false"/>
          <w:color w:val="000000"/>
          <w:sz w:val="28"/>
        </w:rPr>
        <w:t>пунктом 147</w:t>
      </w:r>
      <w:r>
        <w:rPr>
          <w:rFonts w:ascii="Times New Roman"/>
          <w:b w:val="false"/>
          <w:i w:val="false"/>
          <w:color w:val="000000"/>
          <w:sz w:val="28"/>
        </w:rPr>
        <w:t xml:space="preserve"> Правил в отношении методов производства и контроля качества обязан учитывать современные научные данные, достижения в области технического прогресса и своевременно вносить изменения, которые могут потребоваться для обеспечения соответствия процесса производства и контроля качества лекарственных препаратов этим данным и достижениям.</w:t>
      </w:r>
    </w:p>
    <w:bookmarkEnd w:id="10"/>
    <w:bookmarkStart w:name="z17" w:id="11"/>
    <w:p>
      <w:pPr>
        <w:spacing w:after="0"/>
        <w:ind w:left="0"/>
        <w:jc w:val="both"/>
      </w:pPr>
      <w:r>
        <w:rPr>
          <w:rFonts w:ascii="Times New Roman"/>
          <w:b w:val="false"/>
          <w:i w:val="false"/>
          <w:color w:val="000000"/>
          <w:sz w:val="28"/>
        </w:rPr>
        <w:t>
      7. Положения настоящего Руководства распространяются на изменения, вносимые в регистрационное досье зарегистрированных лекарственных препаратов в случае, если такие изменения в процессе производства лекарственных препаратов влияют на содержание регистрационного досье.</w:t>
      </w:r>
    </w:p>
    <w:bookmarkEnd w:id="11"/>
    <w:bookmarkStart w:name="z18" w:id="12"/>
    <w:p>
      <w:pPr>
        <w:spacing w:after="0"/>
        <w:ind w:left="0"/>
        <w:jc w:val="both"/>
      </w:pPr>
      <w:r>
        <w:rPr>
          <w:rFonts w:ascii="Times New Roman"/>
          <w:b w:val="false"/>
          <w:i w:val="false"/>
          <w:color w:val="000000"/>
          <w:sz w:val="28"/>
        </w:rPr>
        <w:t xml:space="preserve">
      8. В соответствии с требованиями </w:t>
      </w:r>
      <w:r>
        <w:rPr>
          <w:rFonts w:ascii="Times New Roman"/>
          <w:b w:val="false"/>
          <w:i w:val="false"/>
          <w:color w:val="000000"/>
          <w:sz w:val="28"/>
        </w:rPr>
        <w:t>приложения № 1</w:t>
      </w:r>
      <w:r>
        <w:rPr>
          <w:rFonts w:ascii="Times New Roman"/>
          <w:b w:val="false"/>
          <w:i w:val="false"/>
          <w:color w:val="000000"/>
          <w:sz w:val="28"/>
        </w:rPr>
        <w:t xml:space="preserve"> к Правилам в регистрационном досье лекарственного препарата должно быть представлено описание способа производства (технологического процесса). Требования, предъявляемые к описанию способа производства (технологического процесса) в модуле 3 регистрационного досье, подробно изложены в настоящем Руководстве и дополняют </w:t>
      </w:r>
      <w:r>
        <w:rPr>
          <w:rFonts w:ascii="Times New Roman"/>
          <w:b w:val="false"/>
          <w:i w:val="false"/>
          <w:color w:val="000000"/>
          <w:sz w:val="28"/>
        </w:rPr>
        <w:t xml:space="preserve">приложение № 1 </w:t>
      </w:r>
      <w:r>
        <w:rPr>
          <w:rFonts w:ascii="Times New Roman"/>
          <w:b w:val="false"/>
          <w:i w:val="false"/>
          <w:color w:val="000000"/>
          <w:sz w:val="28"/>
        </w:rPr>
        <w:t xml:space="preserve"> к Правилам.</w:t>
      </w:r>
    </w:p>
    <w:bookmarkEnd w:id="12"/>
    <w:p>
      <w:pPr>
        <w:spacing w:after="0"/>
        <w:ind w:left="0"/>
        <w:jc w:val="both"/>
      </w:pPr>
      <w:r>
        <w:rPr>
          <w:rFonts w:ascii="Times New Roman"/>
          <w:b w:val="false"/>
          <w:i w:val="false"/>
          <w:color w:val="000000"/>
          <w:sz w:val="28"/>
        </w:rPr>
        <w:t>
      9. В настоящем Руководстве также рассматриваются вопросы, связанные с аутсорсингом и такими новыми производственными практиками, как сложные производственные цепочки, а также вопросы, касающиеся длительных перерывов между технологическими стадиями и условиями транспортировки. Подробная информация о требованиях к процессам стерилизации приводится в руководстве по асептическим процессам в производстве, утверждаемом Комиссией.</w:t>
      </w:r>
    </w:p>
    <w:bookmarkStart w:name="z19" w:id="13"/>
    <w:p>
      <w:pPr>
        <w:spacing w:after="0"/>
        <w:ind w:left="0"/>
        <w:jc w:val="both"/>
      </w:pPr>
      <w:r>
        <w:rPr>
          <w:rFonts w:ascii="Times New Roman"/>
          <w:b w:val="false"/>
          <w:i w:val="false"/>
          <w:color w:val="000000"/>
          <w:sz w:val="28"/>
        </w:rPr>
        <w:t xml:space="preserve">
      10. Настоящее Руководство применяется в отношении производства готовых лекарственных форм лекарственных препаратов химического и растительного происхождения для их последующей регистрации. </w:t>
      </w:r>
    </w:p>
    <w:bookmarkEnd w:id="13"/>
    <w:bookmarkStart w:name="z20" w:id="14"/>
    <w:p>
      <w:pPr>
        <w:spacing w:after="0"/>
        <w:ind w:left="0"/>
        <w:jc w:val="both"/>
      </w:pPr>
      <w:r>
        <w:rPr>
          <w:rFonts w:ascii="Times New Roman"/>
          <w:b w:val="false"/>
          <w:i w:val="false"/>
          <w:color w:val="000000"/>
          <w:sz w:val="28"/>
        </w:rPr>
        <w:t xml:space="preserve">
      11. Приведенные в настоящем Руководстве принципы описания способа производства (технологического процесса) готовых лекарственных форм лекарственных препаратов при формировании модуля 3 регистрационного досье также в целом применимы к биологическим лекарственным препаратам. </w:t>
      </w:r>
    </w:p>
    <w:bookmarkEnd w:id="14"/>
    <w:bookmarkStart w:name="z21" w:id="15"/>
    <w:p>
      <w:pPr>
        <w:spacing w:after="0"/>
        <w:ind w:left="0"/>
        <w:jc w:val="both"/>
      </w:pPr>
      <w:r>
        <w:rPr>
          <w:rFonts w:ascii="Times New Roman"/>
          <w:b w:val="false"/>
          <w:i w:val="false"/>
          <w:color w:val="000000"/>
          <w:sz w:val="28"/>
        </w:rPr>
        <w:t xml:space="preserve">
      12. В соответствующих случаях положения настоящего Руководства могут применяться к радиофармацевтическим препаратам и исследуемым лекарственным препаратам химического происхождения. </w:t>
      </w:r>
    </w:p>
    <w:bookmarkEnd w:id="15"/>
    <w:bookmarkStart w:name="z22" w:id="16"/>
    <w:p>
      <w:pPr>
        <w:spacing w:after="0"/>
        <w:ind w:left="0"/>
        <w:jc w:val="left"/>
      </w:pPr>
      <w:r>
        <w:rPr>
          <w:rFonts w:ascii="Times New Roman"/>
          <w:b/>
          <w:i w:val="false"/>
          <w:color w:val="000000"/>
        </w:rPr>
        <w:t xml:space="preserve"> II. Определения</w:t>
      </w:r>
    </w:p>
    <w:bookmarkEnd w:id="16"/>
    <w:bookmarkStart w:name="z23" w:id="17"/>
    <w:p>
      <w:pPr>
        <w:spacing w:after="0"/>
        <w:ind w:left="0"/>
        <w:jc w:val="both"/>
      </w:pPr>
      <w:r>
        <w:rPr>
          <w:rFonts w:ascii="Times New Roman"/>
          <w:b w:val="false"/>
          <w:i w:val="false"/>
          <w:color w:val="000000"/>
          <w:sz w:val="28"/>
        </w:rPr>
        <w:t>
      13. Для целей настоящего Руководства используются понятия, которые означают следующее:</w:t>
      </w:r>
    </w:p>
    <w:bookmarkEnd w:id="17"/>
    <w:bookmarkStart w:name="z24" w:id="18"/>
    <w:p>
      <w:pPr>
        <w:spacing w:after="0"/>
        <w:ind w:left="0"/>
        <w:jc w:val="both"/>
      </w:pPr>
      <w:r>
        <w:rPr>
          <w:rFonts w:ascii="Times New Roman"/>
          <w:b w:val="false"/>
          <w:i w:val="false"/>
          <w:color w:val="000000"/>
          <w:sz w:val="28"/>
        </w:rPr>
        <w:t>
      "время хранения (перерыва) между операциями" – установленный период времени, в течение которого материалы (исходное сырье, промежуточные продукты и нерасфасованная продукция перед ее заключительной упаковкой) могут храниться при заданных условиях хранения в ожидании очередной технологической стадии, при этом качество указанных материалов остается в пределах спецификации;</w:t>
      </w:r>
    </w:p>
    <w:bookmarkEnd w:id="18"/>
    <w:bookmarkStart w:name="z25" w:id="19"/>
    <w:p>
      <w:pPr>
        <w:spacing w:after="0"/>
        <w:ind w:left="0"/>
        <w:jc w:val="both"/>
      </w:pPr>
      <w:r>
        <w:rPr>
          <w:rFonts w:ascii="Times New Roman"/>
          <w:b w:val="false"/>
          <w:i w:val="false"/>
          <w:color w:val="000000"/>
          <w:sz w:val="28"/>
        </w:rPr>
        <w:t xml:space="preserve">
      "испытания в режиме реального времени" – тесты, способные оценивать и обеспечивать качество продукции в процессе производства и (или) готовой продукции на основании данных технологического процесса, которые, как правило, включают в себя достаточно надежное сочетание определенных характеристик материалов и методов внутрипроизводственного контроля. </w:t>
      </w:r>
    </w:p>
    <w:bookmarkEnd w:id="19"/>
    <w:bookmarkStart w:name="z26" w:id="20"/>
    <w:p>
      <w:pPr>
        <w:spacing w:after="0"/>
        <w:ind w:left="0"/>
        <w:jc w:val="both"/>
      </w:pPr>
      <w:r>
        <w:rPr>
          <w:rFonts w:ascii="Times New Roman"/>
          <w:b w:val="false"/>
          <w:i w:val="false"/>
          <w:color w:val="000000"/>
          <w:sz w:val="28"/>
        </w:rPr>
        <w:t xml:space="preserve">
      Иные понятия, используемые в настоящем Руководстве, применяются в значениях, установленных </w:t>
      </w:r>
      <w:r>
        <w:rPr>
          <w:rFonts w:ascii="Times New Roman"/>
          <w:b w:val="false"/>
          <w:i w:val="false"/>
          <w:color w:val="000000"/>
          <w:sz w:val="28"/>
        </w:rPr>
        <w:t>Рекомендацией</w:t>
      </w:r>
      <w:r>
        <w:rPr>
          <w:rFonts w:ascii="Times New Roman"/>
          <w:b w:val="false"/>
          <w:i w:val="false"/>
          <w:color w:val="000000"/>
          <w:sz w:val="28"/>
        </w:rPr>
        <w:t xml:space="preserve"> Коллегии Евразийской экономической комиссии от 26 сентября 2017 г. № 19 "О Руководстве по валидации процесса производства лекарственных препаратов для медицинского применения".</w:t>
      </w:r>
    </w:p>
    <w:bookmarkEnd w:id="20"/>
    <w:bookmarkStart w:name="z27" w:id="21"/>
    <w:p>
      <w:pPr>
        <w:spacing w:after="0"/>
        <w:ind w:left="0"/>
        <w:jc w:val="left"/>
      </w:pPr>
      <w:r>
        <w:rPr>
          <w:rFonts w:ascii="Times New Roman"/>
          <w:b/>
          <w:i w:val="false"/>
          <w:color w:val="000000"/>
        </w:rPr>
        <w:t xml:space="preserve"> III. Производство</w:t>
      </w:r>
    </w:p>
    <w:bookmarkEnd w:id="21"/>
    <w:bookmarkStart w:name="z28" w:id="22"/>
    <w:p>
      <w:pPr>
        <w:spacing w:after="0"/>
        <w:ind w:left="0"/>
        <w:jc w:val="both"/>
      </w:pPr>
      <w:r>
        <w:rPr>
          <w:rFonts w:ascii="Times New Roman"/>
          <w:b w:val="false"/>
          <w:i w:val="false"/>
          <w:color w:val="000000"/>
          <w:sz w:val="28"/>
        </w:rPr>
        <w:t>
      14. В описании процесса производства должны отражаться данные о критических стадиях и промежуточной продукции и прослеживаться связь между фармацевтической разработкой, предложенной стратегией контроля и валидацией процесса. Разделы настоящего Руководства соответствуют структуре раздела 3.2.P.3 модуля 3 регистрационного досье:</w:t>
      </w:r>
    </w:p>
    <w:bookmarkEnd w:id="22"/>
    <w:bookmarkStart w:name="z29" w:id="23"/>
    <w:p>
      <w:pPr>
        <w:spacing w:after="0"/>
        <w:ind w:left="0"/>
        <w:jc w:val="both"/>
      </w:pPr>
      <w:r>
        <w:rPr>
          <w:rFonts w:ascii="Times New Roman"/>
          <w:b w:val="false"/>
          <w:i w:val="false"/>
          <w:color w:val="000000"/>
          <w:sz w:val="28"/>
        </w:rPr>
        <w:t xml:space="preserve">
      а) "3.2.Р.3.1. Производители"; </w:t>
      </w:r>
    </w:p>
    <w:bookmarkEnd w:id="23"/>
    <w:bookmarkStart w:name="z30" w:id="24"/>
    <w:p>
      <w:pPr>
        <w:spacing w:after="0"/>
        <w:ind w:left="0"/>
        <w:jc w:val="both"/>
      </w:pPr>
      <w:r>
        <w:rPr>
          <w:rFonts w:ascii="Times New Roman"/>
          <w:b w:val="false"/>
          <w:i w:val="false"/>
          <w:color w:val="000000"/>
          <w:sz w:val="28"/>
        </w:rPr>
        <w:t>
      б) "3.2.P.3.2. Состав на серию (производственная рецептура)";</w:t>
      </w:r>
    </w:p>
    <w:bookmarkEnd w:id="24"/>
    <w:bookmarkStart w:name="z31" w:id="25"/>
    <w:p>
      <w:pPr>
        <w:spacing w:after="0"/>
        <w:ind w:left="0"/>
        <w:jc w:val="both"/>
      </w:pPr>
      <w:r>
        <w:rPr>
          <w:rFonts w:ascii="Times New Roman"/>
          <w:b w:val="false"/>
          <w:i w:val="false"/>
          <w:color w:val="000000"/>
          <w:sz w:val="28"/>
        </w:rPr>
        <w:t>
      в) "3.2.P.3.3. Описание производственного процесса и его контроля";</w:t>
      </w:r>
    </w:p>
    <w:bookmarkEnd w:id="25"/>
    <w:bookmarkStart w:name="z32" w:id="26"/>
    <w:p>
      <w:pPr>
        <w:spacing w:after="0"/>
        <w:ind w:left="0"/>
        <w:jc w:val="both"/>
      </w:pPr>
      <w:r>
        <w:rPr>
          <w:rFonts w:ascii="Times New Roman"/>
          <w:b w:val="false"/>
          <w:i w:val="false"/>
          <w:color w:val="000000"/>
          <w:sz w:val="28"/>
        </w:rPr>
        <w:t>
      г) "3.2.Р.3.4. Контроль критических стадий и промежуточной продукции";</w:t>
      </w:r>
    </w:p>
    <w:bookmarkEnd w:id="26"/>
    <w:bookmarkStart w:name="z33" w:id="27"/>
    <w:p>
      <w:pPr>
        <w:spacing w:after="0"/>
        <w:ind w:left="0"/>
        <w:jc w:val="both"/>
      </w:pPr>
      <w:r>
        <w:rPr>
          <w:rFonts w:ascii="Times New Roman"/>
          <w:b w:val="false"/>
          <w:i w:val="false"/>
          <w:color w:val="000000"/>
          <w:sz w:val="28"/>
        </w:rPr>
        <w:t xml:space="preserve">
      д) "3.2.P.3.5. Валидация производственного процесса и (или) его оценка". </w:t>
      </w:r>
    </w:p>
    <w:bookmarkEnd w:id="27"/>
    <w:bookmarkStart w:name="z34" w:id="28"/>
    <w:p>
      <w:pPr>
        <w:spacing w:after="0"/>
        <w:ind w:left="0"/>
        <w:jc w:val="both"/>
      </w:pPr>
      <w:r>
        <w:rPr>
          <w:rFonts w:ascii="Times New Roman"/>
          <w:b w:val="false"/>
          <w:i w:val="false"/>
          <w:color w:val="000000"/>
          <w:sz w:val="28"/>
        </w:rPr>
        <w:t>
      15. В регистрационном досье регистрируемого лекарственного препарата должны быть представлены сведения о деталях производства заявленного на регистрацию лекарственного препарата. Не следует указывать общую информацию, относящуюся к Правилам надлежащей производственной практики.</w:t>
      </w:r>
    </w:p>
    <w:bookmarkEnd w:id="28"/>
    <w:bookmarkStart w:name="z35" w:id="29"/>
    <w:p>
      <w:pPr>
        <w:spacing w:after="0"/>
        <w:ind w:left="0"/>
        <w:jc w:val="left"/>
      </w:pPr>
      <w:r>
        <w:rPr>
          <w:rFonts w:ascii="Times New Roman"/>
          <w:b/>
          <w:i w:val="false"/>
          <w:color w:val="000000"/>
        </w:rPr>
        <w:t xml:space="preserve"> 1. Производители </w:t>
      </w:r>
    </w:p>
    <w:bookmarkEnd w:id="29"/>
    <w:bookmarkStart w:name="z36" w:id="30"/>
    <w:p>
      <w:pPr>
        <w:spacing w:after="0"/>
        <w:ind w:left="0"/>
        <w:jc w:val="both"/>
      </w:pPr>
      <w:r>
        <w:rPr>
          <w:rFonts w:ascii="Times New Roman"/>
          <w:b w:val="false"/>
          <w:i w:val="false"/>
          <w:color w:val="000000"/>
          <w:sz w:val="28"/>
        </w:rPr>
        <w:t>
      16. По каждой стадии процесса производства (включая упаковывание) необходимо представить сведения о всех участвующих производственных площадках (в том числе принадлежащих одному производителю) и испытательных лабораториях, включая контрольно-аналитические лаборатории (лаборатории по контролю качества). Необходимо указать следующую информацию:</w:t>
      </w:r>
    </w:p>
    <w:bookmarkEnd w:id="30"/>
    <w:bookmarkStart w:name="z37" w:id="31"/>
    <w:p>
      <w:pPr>
        <w:spacing w:after="0"/>
        <w:ind w:left="0"/>
        <w:jc w:val="both"/>
      </w:pPr>
      <w:r>
        <w:rPr>
          <w:rFonts w:ascii="Times New Roman"/>
          <w:b w:val="false"/>
          <w:i w:val="false"/>
          <w:color w:val="000000"/>
          <w:sz w:val="28"/>
        </w:rPr>
        <w:t>
      а) наименование и адрес юридического лица;</w:t>
      </w:r>
    </w:p>
    <w:bookmarkEnd w:id="31"/>
    <w:bookmarkStart w:name="z38" w:id="32"/>
    <w:p>
      <w:pPr>
        <w:spacing w:after="0"/>
        <w:ind w:left="0"/>
        <w:jc w:val="both"/>
      </w:pPr>
      <w:r>
        <w:rPr>
          <w:rFonts w:ascii="Times New Roman"/>
          <w:b w:val="false"/>
          <w:i w:val="false"/>
          <w:color w:val="000000"/>
          <w:sz w:val="28"/>
        </w:rPr>
        <w:t xml:space="preserve">
      б) наименование и фактический адрес производственной площадки; </w:t>
      </w:r>
    </w:p>
    <w:bookmarkEnd w:id="32"/>
    <w:bookmarkStart w:name="z39" w:id="33"/>
    <w:p>
      <w:pPr>
        <w:spacing w:after="0"/>
        <w:ind w:left="0"/>
        <w:jc w:val="both"/>
      </w:pPr>
      <w:r>
        <w:rPr>
          <w:rFonts w:ascii="Times New Roman"/>
          <w:b w:val="false"/>
          <w:i w:val="false"/>
          <w:color w:val="000000"/>
          <w:sz w:val="28"/>
        </w:rPr>
        <w:t>
      в) сфера ответственности каждого производителя, включая контрактные производства;</w:t>
      </w:r>
    </w:p>
    <w:bookmarkEnd w:id="33"/>
    <w:bookmarkStart w:name="z40" w:id="34"/>
    <w:p>
      <w:pPr>
        <w:spacing w:after="0"/>
        <w:ind w:left="0"/>
        <w:jc w:val="both"/>
      </w:pPr>
      <w:r>
        <w:rPr>
          <w:rFonts w:ascii="Times New Roman"/>
          <w:b w:val="false"/>
          <w:i w:val="false"/>
          <w:color w:val="000000"/>
          <w:sz w:val="28"/>
        </w:rPr>
        <w:t>
      г) информация о производителе, ответственном за выпуск продукции на рынок;</w:t>
      </w:r>
    </w:p>
    <w:bookmarkEnd w:id="34"/>
    <w:bookmarkStart w:name="z41" w:id="35"/>
    <w:p>
      <w:pPr>
        <w:spacing w:after="0"/>
        <w:ind w:left="0"/>
        <w:jc w:val="both"/>
      </w:pPr>
      <w:r>
        <w:rPr>
          <w:rFonts w:ascii="Times New Roman"/>
          <w:b w:val="false"/>
          <w:i w:val="false"/>
          <w:color w:val="000000"/>
          <w:sz w:val="28"/>
        </w:rPr>
        <w:t>
      д) информация только о площадках, участвующих в производстве и контроле готовой продукции до выпуска.</w:t>
      </w:r>
    </w:p>
    <w:bookmarkEnd w:id="35"/>
    <w:bookmarkStart w:name="z42" w:id="36"/>
    <w:p>
      <w:pPr>
        <w:spacing w:after="0"/>
        <w:ind w:left="0"/>
        <w:jc w:val="left"/>
      </w:pPr>
      <w:r>
        <w:rPr>
          <w:rFonts w:ascii="Times New Roman"/>
          <w:b/>
          <w:i w:val="false"/>
          <w:color w:val="000000"/>
        </w:rPr>
        <w:t xml:space="preserve"> 2. Состав на серию (производственная рецептура)</w:t>
      </w:r>
    </w:p>
    <w:bookmarkEnd w:id="36"/>
    <w:bookmarkStart w:name="z43" w:id="37"/>
    <w:p>
      <w:pPr>
        <w:spacing w:after="0"/>
        <w:ind w:left="0"/>
        <w:jc w:val="both"/>
      </w:pPr>
      <w:r>
        <w:rPr>
          <w:rFonts w:ascii="Times New Roman"/>
          <w:b w:val="false"/>
          <w:i w:val="false"/>
          <w:color w:val="000000"/>
          <w:sz w:val="28"/>
        </w:rPr>
        <w:t xml:space="preserve">
      17. Необходимо указать состав серии лекарственного препарата, соответствующий размеру этой серии. При наличии нескольких серий разного размера указывается по меньшей мере состав наибольшей и наименьшей серий планируемого размера (объема). Если планируется производство серий разного размера, указываются по меньшей мере составы наибольших и наименьших серий. </w:t>
      </w:r>
    </w:p>
    <w:bookmarkEnd w:id="37"/>
    <w:bookmarkStart w:name="z44" w:id="38"/>
    <w:p>
      <w:pPr>
        <w:spacing w:after="0"/>
        <w:ind w:left="0"/>
        <w:jc w:val="both"/>
      </w:pPr>
      <w:r>
        <w:rPr>
          <w:rFonts w:ascii="Times New Roman"/>
          <w:b w:val="false"/>
          <w:i w:val="false"/>
          <w:color w:val="000000"/>
          <w:sz w:val="28"/>
        </w:rPr>
        <w:t xml:space="preserve">
      18. Использование нескольких размеров серий необходимо в достаточной степени обосновать с точки зрения отсутствия нежелательного влияния на критические показатели качества готового лекарственного препарата в соответствии с </w:t>
      </w:r>
      <w:r>
        <w:rPr>
          <w:rFonts w:ascii="Times New Roman"/>
          <w:b w:val="false"/>
          <w:i w:val="false"/>
          <w:color w:val="000000"/>
          <w:sz w:val="28"/>
        </w:rPr>
        <w:t>Рекомендацией</w:t>
      </w:r>
      <w:r>
        <w:rPr>
          <w:rFonts w:ascii="Times New Roman"/>
          <w:b w:val="false"/>
          <w:i w:val="false"/>
          <w:color w:val="000000"/>
          <w:sz w:val="28"/>
        </w:rPr>
        <w:t xml:space="preserve"> Коллегии Евразийской экономической комиссии от 26 сентября 2017 г. № 19 "О Руководстве по валидации процесса производства лекарственных препаратов для медицинского применения".</w:t>
      </w:r>
    </w:p>
    <w:bookmarkEnd w:id="38"/>
    <w:bookmarkStart w:name="z45" w:id="39"/>
    <w:p>
      <w:pPr>
        <w:spacing w:after="0"/>
        <w:ind w:left="0"/>
        <w:jc w:val="both"/>
      </w:pPr>
      <w:r>
        <w:rPr>
          <w:rFonts w:ascii="Times New Roman"/>
          <w:b w:val="false"/>
          <w:i w:val="false"/>
          <w:color w:val="000000"/>
          <w:sz w:val="28"/>
        </w:rPr>
        <w:t>
      19. Если нерасфасованная продукция компонуется в разных формах выпуска или упаковках, размер серии продукции должен определяться по первоначальному нерасфасованному количеству продукции до ее разделения. Если продолжительность последующих процессов и упаковывания считается критической (например, если речь идет об асептическом розливе произведенной продукции), необходимо указать наихудший сценарий схемы разделения продукции (например, по отношению к общему времени наполнения).</w:t>
      </w:r>
    </w:p>
    <w:bookmarkEnd w:id="39"/>
    <w:bookmarkStart w:name="z46" w:id="40"/>
    <w:p>
      <w:pPr>
        <w:spacing w:after="0"/>
        <w:ind w:left="0"/>
        <w:jc w:val="both"/>
      </w:pPr>
      <w:r>
        <w:rPr>
          <w:rFonts w:ascii="Times New Roman"/>
          <w:b w:val="false"/>
          <w:i w:val="false"/>
          <w:color w:val="000000"/>
          <w:sz w:val="28"/>
        </w:rPr>
        <w:t>
      20. Размер серии продукции, подлежащей выпуску на рынок, должен соизмеряться с производственными мощностями оборудования. Оборудования должно быть достаточно для производства необходимого количества продукции в соответствии с технологическими возможностями. Например, размер промышленной серии твердых дозированных лекарственных форм должен составлять не менее 100 000 единиц, если не представлено обоснование иного размера (например, при производстве орфанных лекарственных препаратов).</w:t>
      </w:r>
    </w:p>
    <w:bookmarkEnd w:id="40"/>
    <w:bookmarkStart w:name="z47" w:id="41"/>
    <w:p>
      <w:pPr>
        <w:spacing w:after="0"/>
        <w:ind w:left="0"/>
        <w:jc w:val="both"/>
      </w:pPr>
      <w:r>
        <w:rPr>
          <w:rFonts w:ascii="Times New Roman"/>
          <w:b w:val="false"/>
          <w:i w:val="false"/>
          <w:color w:val="000000"/>
          <w:sz w:val="28"/>
        </w:rPr>
        <w:t xml:space="preserve">
      21. При наличии подсерий, сформированных и объединенных для последующей обработки, необходимо подтвердить соблюдение требования однородности серий, указать их состав и номер каждой серии соответствующего размера, число подсерий на серию планируемого размера (объема). Кроме того, если серия была разделена в конце процесса производства с целью учета производственной мощности оборудования, это должно быть четко указано (например, для твердых лекарственных форм, произведенных из подсерий в связи с возможностями технологического оборудования). Число подсерий каждой серии соответствующего размера должно быть обосновано. </w:t>
      </w:r>
    </w:p>
    <w:bookmarkEnd w:id="41"/>
    <w:bookmarkStart w:name="z48" w:id="42"/>
    <w:p>
      <w:pPr>
        <w:spacing w:after="0"/>
        <w:ind w:left="0"/>
        <w:jc w:val="both"/>
      </w:pPr>
      <w:r>
        <w:rPr>
          <w:rFonts w:ascii="Times New Roman"/>
          <w:b w:val="false"/>
          <w:i w:val="false"/>
          <w:color w:val="000000"/>
          <w:sz w:val="28"/>
        </w:rPr>
        <w:t xml:space="preserve">
      22. При непрерывном производстве сведения о размере серии в традиционном понимании могут оказаться неприменимыми, однако следует определить, что подразумевается под серией (например, продолжительность времени или количество произведенной продукции (допускается указание значений этих параметров в виде диапазона значений)). </w:t>
      </w:r>
    </w:p>
    <w:bookmarkEnd w:id="42"/>
    <w:bookmarkStart w:name="z49" w:id="43"/>
    <w:p>
      <w:pPr>
        <w:spacing w:after="0"/>
        <w:ind w:left="0"/>
        <w:jc w:val="both"/>
      </w:pPr>
      <w:r>
        <w:rPr>
          <w:rFonts w:ascii="Times New Roman"/>
          <w:b w:val="false"/>
          <w:i w:val="false"/>
          <w:color w:val="000000"/>
          <w:sz w:val="28"/>
        </w:rPr>
        <w:t>
      23. Кроме того, следует указать наименования, содержание всех ингредиентов, используемых в ходе производства, а также применяемые к ним стандарты качества. Ингредиенты, которые удаляются из продукта во время процесса производства (например, гранулирующие жидкости, растворители и газы), также должны быть указаны, но их содержание может быть указано в виде диапазона значений.</w:t>
      </w:r>
    </w:p>
    <w:bookmarkEnd w:id="43"/>
    <w:bookmarkStart w:name="z50" w:id="44"/>
    <w:p>
      <w:pPr>
        <w:spacing w:after="0"/>
        <w:ind w:left="0"/>
        <w:jc w:val="both"/>
      </w:pPr>
      <w:r>
        <w:rPr>
          <w:rFonts w:ascii="Times New Roman"/>
          <w:b w:val="false"/>
          <w:i w:val="false"/>
          <w:color w:val="000000"/>
          <w:sz w:val="28"/>
        </w:rPr>
        <w:t>
      24. Следует также указать ингредиенты, которые используются по мере необходимости (например, кислоты и щелочи для корректировки величины рН). Избыток закладываемых ингредиентов необходимо четко указать в количественном выражении и обосновать в разделе 3.2.Р.2 модуля 3 регистрационного досье. При наличии соответствующего обоснования могут указываться верхний и нижний допустимые пределы (критерии приемлемости) фактического количества того или иного ингредиента (как активных фармацевтических субстанций, так и вспомогательных веществ). Если используемое количество активной фармацевтической субстанции рассчитывается из действительного количественного содержания данной активной фармацевтической субстанции в партии (факторизация), то такие данные должны быть указаны и обоснованы. Если для того чтобы общая масса серии была равна массе, предусмотренной в составе серии, используется другой ингредиент, то это также должно быть указано.</w:t>
      </w:r>
    </w:p>
    <w:bookmarkEnd w:id="44"/>
    <w:bookmarkStart w:name="z51" w:id="45"/>
    <w:p>
      <w:pPr>
        <w:spacing w:after="0"/>
        <w:ind w:left="0"/>
        <w:jc w:val="left"/>
      </w:pPr>
      <w:r>
        <w:rPr>
          <w:rFonts w:ascii="Times New Roman"/>
          <w:b/>
          <w:i w:val="false"/>
          <w:color w:val="000000"/>
        </w:rPr>
        <w:t xml:space="preserve"> 3. Описание процесса производства и контроль качества лекарственного препарата</w:t>
      </w:r>
    </w:p>
    <w:bookmarkEnd w:id="45"/>
    <w:bookmarkStart w:name="z52" w:id="46"/>
    <w:p>
      <w:pPr>
        <w:spacing w:after="0"/>
        <w:ind w:left="0"/>
        <w:jc w:val="left"/>
      </w:pPr>
      <w:r>
        <w:rPr>
          <w:rFonts w:ascii="Times New Roman"/>
          <w:b/>
          <w:i w:val="false"/>
          <w:color w:val="000000"/>
        </w:rPr>
        <w:t xml:space="preserve"> Общие положения</w:t>
      </w:r>
    </w:p>
    <w:bookmarkEnd w:id="46"/>
    <w:bookmarkStart w:name="z53" w:id="47"/>
    <w:p>
      <w:pPr>
        <w:spacing w:after="0"/>
        <w:ind w:left="0"/>
        <w:jc w:val="both"/>
      </w:pPr>
      <w:r>
        <w:rPr>
          <w:rFonts w:ascii="Times New Roman"/>
          <w:b w:val="false"/>
          <w:i w:val="false"/>
          <w:color w:val="000000"/>
          <w:sz w:val="28"/>
        </w:rPr>
        <w:t>
      25. Необходимо дать полное описание процесса производства лекарственного препарата и приложить к нему схему, на которой будет приведена каждая стадия процесса с соответствующим внутрипроизводственным контролем (при необходимости), а также указана (обозначена) каждая стадия, на которой материалы вводятся в производство. Если предлагается использовать в процессе контроля производства проектное поле, то это необходимо однозначно указать в описании процесса производства.</w:t>
      </w:r>
    </w:p>
    <w:bookmarkEnd w:id="47"/>
    <w:bookmarkStart w:name="z54" w:id="48"/>
    <w:p>
      <w:pPr>
        <w:spacing w:after="0"/>
        <w:ind w:left="0"/>
        <w:jc w:val="both"/>
      </w:pPr>
      <w:r>
        <w:rPr>
          <w:rFonts w:ascii="Times New Roman"/>
          <w:b w:val="false"/>
          <w:i w:val="false"/>
          <w:color w:val="000000"/>
          <w:sz w:val="28"/>
        </w:rPr>
        <w:t xml:space="preserve">
      26. Описание производственного процесса должно быть надлежащим образом обосновано в разделе 3.2.Р.2 модуля 3 регистрационного досье данными по разработке (в частности, в отношении всех рабочих условий процесса производства и диапазонов значений параметров для этого процесса производства). Описание процесса производства с широкими диапазонами (шире, чем обычно принимается в качестве нормальных рабочих диапазонов) или условиями, заданными только верхним либо нижним пределом, как правило, требует более детального описания и (или) научного обоснования в разделе 3.2.Р.2 модуля 3 регистрационного досье. Валидация полномасштабного процесса производства определенных видов лекарственных препаратов на момент подачи заявления не требуется. Если результаты такого полномасштабного исследования отсутствуют в момент подачи регистрационного досье, в описании процесса производства необходимо указать значения параметров процесса производства, установленные во время разработки процесса производства. В случае возникновения необходимости внесения изменений в утвержденные параметры процесса производства по результатам проведенных в рамках валидации исследований полномасштабного производства эти изменения необходимо представлять в соответствии с </w:t>
      </w:r>
      <w:r>
        <w:rPr>
          <w:rFonts w:ascii="Times New Roman"/>
          <w:b w:val="false"/>
          <w:i w:val="false"/>
          <w:color w:val="000000"/>
          <w:sz w:val="28"/>
        </w:rPr>
        <w:t>приложением № 19</w:t>
      </w:r>
      <w:r>
        <w:rPr>
          <w:rFonts w:ascii="Times New Roman"/>
          <w:b w:val="false"/>
          <w:i w:val="false"/>
          <w:color w:val="000000"/>
          <w:sz w:val="28"/>
        </w:rPr>
        <w:t xml:space="preserve"> к Правилам.</w:t>
      </w:r>
    </w:p>
    <w:bookmarkEnd w:id="48"/>
    <w:bookmarkStart w:name="z55" w:id="49"/>
    <w:p>
      <w:pPr>
        <w:spacing w:after="0"/>
        <w:ind w:left="0"/>
        <w:jc w:val="both"/>
      </w:pPr>
      <w:r>
        <w:rPr>
          <w:rFonts w:ascii="Times New Roman"/>
          <w:b w:val="false"/>
          <w:i w:val="false"/>
          <w:color w:val="000000"/>
          <w:sz w:val="28"/>
        </w:rPr>
        <w:t>
      27. Необходимо определить производственные стадии и критические точки, на которых проводятся:</w:t>
      </w:r>
    </w:p>
    <w:bookmarkEnd w:id="49"/>
    <w:bookmarkStart w:name="z56" w:id="50"/>
    <w:p>
      <w:pPr>
        <w:spacing w:after="0"/>
        <w:ind w:left="0"/>
        <w:jc w:val="both"/>
      </w:pPr>
      <w:r>
        <w:rPr>
          <w:rFonts w:ascii="Times New Roman"/>
          <w:b w:val="false"/>
          <w:i w:val="false"/>
          <w:color w:val="000000"/>
          <w:sz w:val="28"/>
        </w:rPr>
        <w:t>
      а) контроль производства;</w:t>
      </w:r>
    </w:p>
    <w:bookmarkEnd w:id="50"/>
    <w:bookmarkStart w:name="z57" w:id="51"/>
    <w:p>
      <w:pPr>
        <w:spacing w:after="0"/>
        <w:ind w:left="0"/>
        <w:jc w:val="both"/>
      </w:pPr>
      <w:r>
        <w:rPr>
          <w:rFonts w:ascii="Times New Roman"/>
          <w:b w:val="false"/>
          <w:i w:val="false"/>
          <w:color w:val="000000"/>
          <w:sz w:val="28"/>
        </w:rPr>
        <w:t>
      б) промежуточные испытания;</w:t>
      </w:r>
    </w:p>
    <w:bookmarkEnd w:id="51"/>
    <w:bookmarkStart w:name="z58" w:id="52"/>
    <w:p>
      <w:pPr>
        <w:spacing w:after="0"/>
        <w:ind w:left="0"/>
        <w:jc w:val="both"/>
      </w:pPr>
      <w:r>
        <w:rPr>
          <w:rFonts w:ascii="Times New Roman"/>
          <w:b w:val="false"/>
          <w:i w:val="false"/>
          <w:color w:val="000000"/>
          <w:sz w:val="28"/>
        </w:rPr>
        <w:t>
      в) контроль готовой продукции.</w:t>
      </w:r>
    </w:p>
    <w:bookmarkEnd w:id="52"/>
    <w:bookmarkStart w:name="z59" w:id="53"/>
    <w:p>
      <w:pPr>
        <w:spacing w:after="0"/>
        <w:ind w:left="0"/>
        <w:jc w:val="both"/>
      </w:pPr>
      <w:r>
        <w:rPr>
          <w:rFonts w:ascii="Times New Roman"/>
          <w:b w:val="false"/>
          <w:i w:val="false"/>
          <w:color w:val="000000"/>
          <w:sz w:val="28"/>
        </w:rPr>
        <w:t>
      28. В разделе 3.2.P.2 модуля 3 регистрационного досье необходимо привести сведения, которые позволяют установить, в какой степени обеспечение качества готового лекарственного препарата внедрено в процесс производства. Процесс производства каждого готового лекарственного препарата должен иметь связанную с ним общую стратегию контроля, соответствующую его целевому назначению. Исходя из результатов исследований по разработке лекарственного препарата необходимо описать и критически оценить производственные процессы и контроль этих процессов с точки зрения общей стратегии контроля процесса производства. При этом следует предложить разные стратегии контроля в случаях:</w:t>
      </w:r>
    </w:p>
    <w:bookmarkEnd w:id="53"/>
    <w:bookmarkStart w:name="z60" w:id="54"/>
    <w:p>
      <w:pPr>
        <w:spacing w:after="0"/>
        <w:ind w:left="0"/>
        <w:jc w:val="both"/>
      </w:pPr>
      <w:r>
        <w:rPr>
          <w:rFonts w:ascii="Times New Roman"/>
          <w:b w:val="false"/>
          <w:i w:val="false"/>
          <w:color w:val="000000"/>
          <w:sz w:val="28"/>
        </w:rPr>
        <w:t>
      а) выпускающих испытаний в режиме реального времени;</w:t>
      </w:r>
    </w:p>
    <w:bookmarkEnd w:id="54"/>
    <w:bookmarkStart w:name="z61" w:id="55"/>
    <w:p>
      <w:pPr>
        <w:spacing w:after="0"/>
        <w:ind w:left="0"/>
        <w:jc w:val="both"/>
      </w:pPr>
      <w:r>
        <w:rPr>
          <w:rFonts w:ascii="Times New Roman"/>
          <w:b w:val="false"/>
          <w:i w:val="false"/>
          <w:color w:val="000000"/>
          <w:sz w:val="28"/>
        </w:rPr>
        <w:t>
      б) использования проектного поля;</w:t>
      </w:r>
    </w:p>
    <w:bookmarkEnd w:id="55"/>
    <w:bookmarkStart w:name="z62" w:id="56"/>
    <w:p>
      <w:pPr>
        <w:spacing w:after="0"/>
        <w:ind w:left="0"/>
        <w:jc w:val="both"/>
      </w:pPr>
      <w:r>
        <w:rPr>
          <w:rFonts w:ascii="Times New Roman"/>
          <w:b w:val="false"/>
          <w:i w:val="false"/>
          <w:color w:val="000000"/>
          <w:sz w:val="28"/>
        </w:rPr>
        <w:t>
      в) осуществления непрерывного производства;</w:t>
      </w:r>
    </w:p>
    <w:bookmarkEnd w:id="56"/>
    <w:bookmarkStart w:name="z63" w:id="57"/>
    <w:p>
      <w:pPr>
        <w:spacing w:after="0"/>
        <w:ind w:left="0"/>
        <w:jc w:val="both"/>
      </w:pPr>
      <w:r>
        <w:rPr>
          <w:rFonts w:ascii="Times New Roman"/>
          <w:b w:val="false"/>
          <w:i w:val="false"/>
          <w:color w:val="000000"/>
          <w:sz w:val="28"/>
        </w:rPr>
        <w:t>
      г) стандартного процесса производства.</w:t>
      </w:r>
    </w:p>
    <w:bookmarkEnd w:id="57"/>
    <w:bookmarkStart w:name="z64" w:id="58"/>
    <w:p>
      <w:pPr>
        <w:spacing w:after="0"/>
        <w:ind w:left="0"/>
        <w:jc w:val="both"/>
      </w:pPr>
      <w:r>
        <w:rPr>
          <w:rFonts w:ascii="Times New Roman"/>
          <w:b w:val="false"/>
          <w:i w:val="false"/>
          <w:color w:val="000000"/>
          <w:sz w:val="28"/>
        </w:rPr>
        <w:t>
      29. Необходимо указать в разделе 3.2.Р.2 модуля 3 регистрационного досье, насколько степень обеспечения качества лекарственного препарата обеспечивается самим производственным процессом. Необходимо описать и критически оценить контроль процесса производства лекарственного препарата в рамках общей стратегии контроля процесса производства. Допускается использовать разные стратегии контроля в случаях:</w:t>
      </w:r>
    </w:p>
    <w:bookmarkEnd w:id="58"/>
    <w:bookmarkStart w:name="z65" w:id="59"/>
    <w:p>
      <w:pPr>
        <w:spacing w:after="0"/>
        <w:ind w:left="0"/>
        <w:jc w:val="both"/>
      </w:pPr>
      <w:r>
        <w:rPr>
          <w:rFonts w:ascii="Times New Roman"/>
          <w:b w:val="false"/>
          <w:i w:val="false"/>
          <w:color w:val="000000"/>
          <w:sz w:val="28"/>
        </w:rPr>
        <w:t>
      проведения испытаний готовой продукции в режиме реального времени;</w:t>
      </w:r>
    </w:p>
    <w:bookmarkEnd w:id="59"/>
    <w:bookmarkStart w:name="z66" w:id="60"/>
    <w:p>
      <w:pPr>
        <w:spacing w:after="0"/>
        <w:ind w:left="0"/>
        <w:jc w:val="both"/>
      </w:pPr>
      <w:r>
        <w:rPr>
          <w:rFonts w:ascii="Times New Roman"/>
          <w:b w:val="false"/>
          <w:i w:val="false"/>
          <w:color w:val="000000"/>
          <w:sz w:val="28"/>
        </w:rPr>
        <w:t>
      применения стратегии использования проектного поля;</w:t>
      </w:r>
    </w:p>
    <w:bookmarkEnd w:id="60"/>
    <w:bookmarkStart w:name="z67" w:id="61"/>
    <w:p>
      <w:pPr>
        <w:spacing w:after="0"/>
        <w:ind w:left="0"/>
        <w:jc w:val="both"/>
      </w:pPr>
      <w:r>
        <w:rPr>
          <w:rFonts w:ascii="Times New Roman"/>
          <w:b w:val="false"/>
          <w:i w:val="false"/>
          <w:color w:val="000000"/>
          <w:sz w:val="28"/>
        </w:rPr>
        <w:t>
      использования стандартного процесса производства.</w:t>
      </w:r>
    </w:p>
    <w:bookmarkEnd w:id="61"/>
    <w:bookmarkStart w:name="z68" w:id="62"/>
    <w:p>
      <w:pPr>
        <w:spacing w:after="0"/>
        <w:ind w:left="0"/>
        <w:jc w:val="both"/>
      </w:pPr>
      <w:r>
        <w:rPr>
          <w:rFonts w:ascii="Times New Roman"/>
          <w:b w:val="false"/>
          <w:i w:val="false"/>
          <w:color w:val="000000"/>
          <w:sz w:val="28"/>
        </w:rPr>
        <w:t xml:space="preserve">
      Описание элементов приведено в </w:t>
      </w:r>
      <w:r>
        <w:rPr>
          <w:rFonts w:ascii="Times New Roman"/>
          <w:b w:val="false"/>
          <w:i w:val="false"/>
          <w:color w:val="000000"/>
          <w:sz w:val="28"/>
        </w:rPr>
        <w:t>части I</w:t>
      </w:r>
      <w:r>
        <w:rPr>
          <w:rFonts w:ascii="Times New Roman"/>
          <w:b w:val="false"/>
          <w:i w:val="false"/>
          <w:color w:val="000000"/>
          <w:sz w:val="28"/>
        </w:rPr>
        <w:t xml:space="preserve"> Правил надлежащей производственной практики и в руководстве по фармацевтической разработке лекарственных средств, утверждаемом Комиссией.</w:t>
      </w:r>
    </w:p>
    <w:bookmarkEnd w:id="62"/>
    <w:bookmarkStart w:name="z69" w:id="63"/>
    <w:p>
      <w:pPr>
        <w:spacing w:after="0"/>
        <w:ind w:left="0"/>
        <w:jc w:val="left"/>
      </w:pPr>
      <w:r>
        <w:rPr>
          <w:rFonts w:ascii="Times New Roman"/>
          <w:b/>
          <w:i w:val="false"/>
          <w:color w:val="000000"/>
        </w:rPr>
        <w:t xml:space="preserve"> Ожидаемая степень детализации при описании процесса производства</w:t>
      </w:r>
    </w:p>
    <w:bookmarkEnd w:id="63"/>
    <w:bookmarkStart w:name="z70" w:id="64"/>
    <w:p>
      <w:pPr>
        <w:spacing w:after="0"/>
        <w:ind w:left="0"/>
        <w:jc w:val="both"/>
      </w:pPr>
      <w:r>
        <w:rPr>
          <w:rFonts w:ascii="Times New Roman"/>
          <w:b w:val="false"/>
          <w:i w:val="false"/>
          <w:color w:val="000000"/>
          <w:sz w:val="28"/>
        </w:rPr>
        <w:t>
      30. Процесс производства необходимо описать достаточно детально, поскольку постоянство качества лекарственного препарата невозможно обеспечить только с помощью испытаний конечного продукта.</w:t>
      </w:r>
    </w:p>
    <w:bookmarkEnd w:id="64"/>
    <w:bookmarkStart w:name="z71" w:id="65"/>
    <w:p>
      <w:pPr>
        <w:spacing w:after="0"/>
        <w:ind w:left="0"/>
        <w:jc w:val="both"/>
      </w:pPr>
      <w:r>
        <w:rPr>
          <w:rFonts w:ascii="Times New Roman"/>
          <w:b w:val="false"/>
          <w:i w:val="false"/>
          <w:color w:val="000000"/>
          <w:sz w:val="28"/>
        </w:rPr>
        <w:t xml:space="preserve">
      31. Несмотря на то что описание процесса производства включается в стратегию контроля, оно должно быть представлено в виде подробного описания, поскольку использование в стратегии контроля только испытания готовой продукции не может гарантировать устойчивое качество этой продукции. </w:t>
      </w:r>
    </w:p>
    <w:bookmarkEnd w:id="65"/>
    <w:bookmarkStart w:name="z72" w:id="66"/>
    <w:p>
      <w:pPr>
        <w:spacing w:after="0"/>
        <w:ind w:left="0"/>
        <w:jc w:val="both"/>
      </w:pPr>
      <w:r>
        <w:rPr>
          <w:rFonts w:ascii="Times New Roman"/>
          <w:b w:val="false"/>
          <w:i w:val="false"/>
          <w:color w:val="000000"/>
          <w:sz w:val="28"/>
        </w:rPr>
        <w:t>
      32. Необходимо, чтобы описание процесса производства было всесторонним, включая последовательное указание стадий процесса производства, с указанием размера серии, принципа работы и вида оборудования для каждой единичной операции (простого указания "соответствующее оборудование" недостаточно; и, наоборот, такие сведения, как серийный номер и модель, не требуются). При необходимости следует указать рабочие возможности оборудования. Чтобы обеспечить полное понимание процесса производства и позволить провести оценку пригодности процесса, стадии процесса должны быть достаточно детализированными с точки зрения соответствующих технологических параметров вместе с их целевыми значениями или диапазонами (неприемлемо простое указание "типичные заданные значения"). При присвоении технологическим параметрам критичности их описание недопустимо ограничивать только критическим технологическим процессом, необходимо также указать параметры, важные для постоянства процесса производства. Необходимо детально описать некритические технологические параметры, а также параметры, влияние которых на показатель качества исключить невозможно и которые рассматриваются как важные для осуществления и (или) стабильной работы как отдельной технологической стадии процесса производства, так и впоследствии всего процесса производства. Описание процесса производства должно позволить сделать вывод о том, какие сведения (параметры) являются критическими для процесса производства, а какие имеют вспомогательный характер. Все сведения (параметры), расцениваемые как вспомогательные, необходимо обосновать и четко обозначить при их описании.</w:t>
      </w:r>
    </w:p>
    <w:bookmarkEnd w:id="66"/>
    <w:bookmarkStart w:name="z73" w:id="67"/>
    <w:p>
      <w:pPr>
        <w:spacing w:after="0"/>
        <w:ind w:left="0"/>
        <w:jc w:val="both"/>
      </w:pPr>
      <w:r>
        <w:rPr>
          <w:rFonts w:ascii="Times New Roman"/>
          <w:b w:val="false"/>
          <w:i w:val="false"/>
          <w:color w:val="000000"/>
          <w:sz w:val="28"/>
        </w:rPr>
        <w:t xml:space="preserve">
      33. Важными критериями описания процессов производства являются полнота, указание необходимых деталей и последовательная характеристика стадий процесса производства, включая размер серии и тип (размер) оборудования (при необходимости). Описание процесса непрерывного производства должно быть представлено аналогичным образом. Особое внимание следует уделить частоте проведения внутрипроизводственного контроля, а также следует обозначить сроки проведения выпускающих испытаний готовой продукции. </w:t>
      </w:r>
    </w:p>
    <w:bookmarkEnd w:id="67"/>
    <w:bookmarkStart w:name="z74" w:id="68"/>
    <w:p>
      <w:pPr>
        <w:spacing w:after="0"/>
        <w:ind w:left="0"/>
        <w:jc w:val="both"/>
      </w:pPr>
      <w:r>
        <w:rPr>
          <w:rFonts w:ascii="Times New Roman"/>
          <w:b w:val="false"/>
          <w:i w:val="false"/>
          <w:color w:val="000000"/>
          <w:sz w:val="28"/>
        </w:rPr>
        <w:t>
      34. Независимо от подхода к разработке (то есть если препарат разработан с помощью минимального (традиционного) или углубленного подхода) к степени детализации при описании процесса производства предъявляются одинаковые требования.</w:t>
      </w:r>
    </w:p>
    <w:bookmarkEnd w:id="68"/>
    <w:bookmarkStart w:name="z75" w:id="69"/>
    <w:p>
      <w:pPr>
        <w:spacing w:after="0"/>
        <w:ind w:left="0"/>
        <w:jc w:val="both"/>
      </w:pPr>
      <w:r>
        <w:rPr>
          <w:rFonts w:ascii="Times New Roman"/>
          <w:b w:val="false"/>
          <w:i w:val="false"/>
          <w:color w:val="000000"/>
          <w:sz w:val="28"/>
        </w:rPr>
        <w:t>
      35. В случае непрерывного производства описание процесса производства необходимо представить в такой же форме.</w:t>
      </w:r>
    </w:p>
    <w:bookmarkEnd w:id="69"/>
    <w:bookmarkStart w:name="z76" w:id="70"/>
    <w:p>
      <w:pPr>
        <w:spacing w:after="0"/>
        <w:ind w:left="0"/>
        <w:jc w:val="both"/>
      </w:pPr>
      <w:r>
        <w:rPr>
          <w:rFonts w:ascii="Times New Roman"/>
          <w:b w:val="false"/>
          <w:i w:val="false"/>
          <w:color w:val="000000"/>
          <w:sz w:val="28"/>
        </w:rPr>
        <w:t>
      36. Описание процесса производства лекарственного препарата приведено в качестве примера согласно приложению.</w:t>
      </w:r>
    </w:p>
    <w:bookmarkEnd w:id="70"/>
    <w:bookmarkStart w:name="z77" w:id="71"/>
    <w:p>
      <w:pPr>
        <w:spacing w:after="0"/>
        <w:ind w:left="0"/>
        <w:jc w:val="left"/>
      </w:pPr>
      <w:r>
        <w:rPr>
          <w:rFonts w:ascii="Times New Roman"/>
          <w:b/>
          <w:i w:val="false"/>
          <w:color w:val="000000"/>
        </w:rPr>
        <w:t xml:space="preserve"> Технологические модификации, вносимые в процесс производства</w:t>
      </w:r>
    </w:p>
    <w:bookmarkEnd w:id="71"/>
    <w:bookmarkStart w:name="z78" w:id="72"/>
    <w:p>
      <w:pPr>
        <w:spacing w:after="0"/>
        <w:ind w:left="0"/>
        <w:jc w:val="both"/>
      </w:pPr>
      <w:r>
        <w:rPr>
          <w:rFonts w:ascii="Times New Roman"/>
          <w:b w:val="false"/>
          <w:i w:val="false"/>
          <w:color w:val="000000"/>
          <w:sz w:val="28"/>
        </w:rPr>
        <w:t>
      37. Независимо от числа производственных площадок, участвующих в процессе производства лекарственного препарата, для производства этого лекарственного препарата следует использовать единый процесс производства. Вместе с тем, если предусматривается участие в процессе производства лекарственного препарата нескольких производителей или производственных площадок, может возникнуть потребность введения некоторых технических модификаций в единый процесс производства. При этом одинаково приемлемыми при наличии обоснования являются технологические модификации, выполненные как на уровне одного производителя, так и на уровне отдельной производственной площадки. В зависимости от доступности оборудования на одинаковой стадии процесса производства могут использоваться разные виды оборудования.</w:t>
      </w:r>
    </w:p>
    <w:bookmarkEnd w:id="72"/>
    <w:bookmarkStart w:name="z79" w:id="73"/>
    <w:p>
      <w:pPr>
        <w:spacing w:after="0"/>
        <w:ind w:left="0"/>
        <w:jc w:val="both"/>
      </w:pPr>
      <w:r>
        <w:rPr>
          <w:rFonts w:ascii="Times New Roman"/>
          <w:b w:val="false"/>
          <w:i w:val="false"/>
          <w:color w:val="000000"/>
          <w:sz w:val="28"/>
        </w:rPr>
        <w:t>
      38. Если предлагаются технологические модификации процесса производства, их необходимо полностью обосновать и сопроводить данными, подтверждающими, что все предлагаемые модификации процесса производства позволят на постоянной основе получать промежуточный продукт и лекарственный препарат, соответствующий критериям приемлемости показателей внутрипроизводственного контроля и спецификаций лекарственного препарата. Независимо от любых различий в процессе производства готовый лекарственный препарат должен соответствовать одним и тем же спецификациям на выпуск и срок годности.</w:t>
      </w:r>
    </w:p>
    <w:bookmarkEnd w:id="73"/>
    <w:bookmarkStart w:name="z80" w:id="74"/>
    <w:p>
      <w:pPr>
        <w:spacing w:after="0"/>
        <w:ind w:left="0"/>
        <w:jc w:val="both"/>
      </w:pPr>
      <w:r>
        <w:rPr>
          <w:rFonts w:ascii="Times New Roman"/>
          <w:b w:val="false"/>
          <w:i w:val="false"/>
          <w:color w:val="000000"/>
          <w:sz w:val="28"/>
        </w:rPr>
        <w:t>
      39. Обоснованные технологические модификации различных стадий процесса производства одного или более производителей и соответствующий им внутрипроизводственный контроль необходимо также подтвердить с помощью отдельных схем. При представлении отдельных схем в регистрационном досье лекарственного препарата заявитель обязан указать разные производственные стадии и сравнить технологические модификации друг с другом. Заявитель обязан обосновать, основываясь на использовании разных видов оборудования, что технологическая модификация не оказывает существенного влияния на качество готовой формы, что необходимо подтвердить соответствующими данными. Если влияние внутрипроизводственного контроля (контролей) и соответствующих критериев приемлемости является значимым для качества лекарственного препарата, их следует также описать. Если предлагаются какие-либо технологические модификации на разных производственных площадках, сведения представляются в одном и том же разделе модуля 3 регистрационного досье, но при необходимости с дифференциацией по каждой производственной площадке.</w:t>
      </w:r>
    </w:p>
    <w:bookmarkEnd w:id="74"/>
    <w:bookmarkStart w:name="z81" w:id="75"/>
    <w:p>
      <w:pPr>
        <w:spacing w:after="0"/>
        <w:ind w:left="0"/>
        <w:jc w:val="both"/>
      </w:pPr>
      <w:r>
        <w:rPr>
          <w:rFonts w:ascii="Times New Roman"/>
          <w:b w:val="false"/>
          <w:i w:val="false"/>
          <w:color w:val="000000"/>
          <w:sz w:val="28"/>
        </w:rPr>
        <w:t>
      40. В отличие от технологических модификаций, указанных в пунктах 37 – 39 настоящего Руководства, неприемлемым является использование альтернативных процессов производства, основанных на различных принципах, независимо от того, сопровождаются ли они изменениями мер внутрипроизводственного контроля и (или) качества лекарственного препарата. К таким альтернативным процессам относятся в том числе:</w:t>
      </w:r>
    </w:p>
    <w:bookmarkEnd w:id="75"/>
    <w:bookmarkStart w:name="z82" w:id="76"/>
    <w:p>
      <w:pPr>
        <w:spacing w:after="0"/>
        <w:ind w:left="0"/>
        <w:jc w:val="both"/>
      </w:pPr>
      <w:r>
        <w:rPr>
          <w:rFonts w:ascii="Times New Roman"/>
          <w:b w:val="false"/>
          <w:i w:val="false"/>
          <w:color w:val="000000"/>
          <w:sz w:val="28"/>
        </w:rPr>
        <w:t>
      а) применение различных процедур стерилизации (терминальной стерилизации готовой продукции и асептического производства с использованием стерильной фильтрации) при использовании контейнеров с разным уровнем термостойкости на разных производственных площадках;</w:t>
      </w:r>
    </w:p>
    <w:bookmarkEnd w:id="76"/>
    <w:bookmarkStart w:name="z83" w:id="77"/>
    <w:p>
      <w:pPr>
        <w:spacing w:after="0"/>
        <w:ind w:left="0"/>
        <w:jc w:val="both"/>
      </w:pPr>
      <w:r>
        <w:rPr>
          <w:rFonts w:ascii="Times New Roman"/>
          <w:b w:val="false"/>
          <w:i w:val="false"/>
          <w:color w:val="000000"/>
          <w:sz w:val="28"/>
        </w:rPr>
        <w:t>
      б) влажная грануляция и сухая грануляция на разных производственных площадках.</w:t>
      </w:r>
    </w:p>
    <w:bookmarkEnd w:id="77"/>
    <w:bookmarkStart w:name="z84" w:id="78"/>
    <w:p>
      <w:pPr>
        <w:spacing w:after="0"/>
        <w:ind w:left="0"/>
        <w:jc w:val="both"/>
      </w:pPr>
      <w:r>
        <w:rPr>
          <w:rFonts w:ascii="Times New Roman"/>
          <w:b w:val="false"/>
          <w:i w:val="false"/>
          <w:color w:val="000000"/>
          <w:sz w:val="28"/>
        </w:rPr>
        <w:t>
      41. Примеры возможного использования технических модификаций разных технологических стадий производства представлены в пунктах 42 и 43 настоящего Руководства.</w:t>
      </w:r>
    </w:p>
    <w:bookmarkEnd w:id="78"/>
    <w:bookmarkStart w:name="z85" w:id="79"/>
    <w:p>
      <w:pPr>
        <w:spacing w:after="0"/>
        <w:ind w:left="0"/>
        <w:jc w:val="both"/>
      </w:pPr>
      <w:r>
        <w:rPr>
          <w:rFonts w:ascii="Times New Roman"/>
          <w:b w:val="false"/>
          <w:i w:val="false"/>
          <w:color w:val="000000"/>
          <w:sz w:val="28"/>
        </w:rPr>
        <w:t>
      42. В отношении твердых лекарственных форм для приема внутрь может использоваться различное оборудование для:</w:t>
      </w:r>
    </w:p>
    <w:bookmarkEnd w:id="79"/>
    <w:bookmarkStart w:name="z86" w:id="80"/>
    <w:p>
      <w:pPr>
        <w:spacing w:after="0"/>
        <w:ind w:left="0"/>
        <w:jc w:val="both"/>
      </w:pPr>
      <w:r>
        <w:rPr>
          <w:rFonts w:ascii="Times New Roman"/>
          <w:b w:val="false"/>
          <w:i w:val="false"/>
          <w:color w:val="000000"/>
          <w:sz w:val="28"/>
        </w:rPr>
        <w:t>
      а) влажной грануляции (высокоскоростной смеситель – гранулятор, гранулятор с малым сдвиговым усилием или гранулятор с псевдоожиженным слоем);</w:t>
      </w:r>
    </w:p>
    <w:bookmarkEnd w:id="80"/>
    <w:bookmarkStart w:name="z87" w:id="81"/>
    <w:p>
      <w:pPr>
        <w:spacing w:after="0"/>
        <w:ind w:left="0"/>
        <w:jc w:val="both"/>
      </w:pPr>
      <w:r>
        <w:rPr>
          <w:rFonts w:ascii="Times New Roman"/>
          <w:b w:val="false"/>
          <w:i w:val="false"/>
          <w:color w:val="000000"/>
          <w:sz w:val="28"/>
        </w:rPr>
        <w:t>
      б) высушивания гранул (например, гранулятор с псевдоожиженным слоем, сушильная камера, система однореакторного синтеза (гранулятор (осушитель) с большим сдвиговым усилием));</w:t>
      </w:r>
    </w:p>
    <w:bookmarkEnd w:id="81"/>
    <w:bookmarkStart w:name="z88" w:id="82"/>
    <w:p>
      <w:pPr>
        <w:spacing w:after="0"/>
        <w:ind w:left="0"/>
        <w:jc w:val="both"/>
      </w:pPr>
      <w:r>
        <w:rPr>
          <w:rFonts w:ascii="Times New Roman"/>
          <w:b w:val="false"/>
          <w:i w:val="false"/>
          <w:color w:val="000000"/>
          <w:sz w:val="28"/>
        </w:rPr>
        <w:t>
      в) сухой грануляции (вальцевания или брикетирования);</w:t>
      </w:r>
    </w:p>
    <w:bookmarkEnd w:id="82"/>
    <w:bookmarkStart w:name="z89" w:id="83"/>
    <w:p>
      <w:pPr>
        <w:spacing w:after="0"/>
        <w:ind w:left="0"/>
        <w:jc w:val="both"/>
      </w:pPr>
      <w:r>
        <w:rPr>
          <w:rFonts w:ascii="Times New Roman"/>
          <w:b w:val="false"/>
          <w:i w:val="false"/>
          <w:color w:val="000000"/>
          <w:sz w:val="28"/>
        </w:rPr>
        <w:t>
      г) измельчения (просеивания) (вибрационная, шаровая или молотковая мельница);</w:t>
      </w:r>
    </w:p>
    <w:bookmarkEnd w:id="83"/>
    <w:bookmarkStart w:name="z90" w:id="84"/>
    <w:p>
      <w:pPr>
        <w:spacing w:after="0"/>
        <w:ind w:left="0"/>
        <w:jc w:val="both"/>
      </w:pPr>
      <w:r>
        <w:rPr>
          <w:rFonts w:ascii="Times New Roman"/>
          <w:b w:val="false"/>
          <w:i w:val="false"/>
          <w:color w:val="000000"/>
          <w:sz w:val="28"/>
        </w:rPr>
        <w:t>
      д) покрытия оболочкой (например, для нанесения покрытия с помощью обволакивающих установок барабанного типа или в псевдоожиженном слое);</w:t>
      </w:r>
    </w:p>
    <w:bookmarkEnd w:id="84"/>
    <w:bookmarkStart w:name="z91" w:id="85"/>
    <w:p>
      <w:pPr>
        <w:spacing w:after="0"/>
        <w:ind w:left="0"/>
        <w:jc w:val="both"/>
      </w:pPr>
      <w:r>
        <w:rPr>
          <w:rFonts w:ascii="Times New Roman"/>
          <w:b w:val="false"/>
          <w:i w:val="false"/>
          <w:color w:val="000000"/>
          <w:sz w:val="28"/>
        </w:rPr>
        <w:t xml:space="preserve">
      е) сухого смешения (например, смеситель с большим сдвиговым усилием, смеситель ингредиентов в емкостном аппарате, конический шнековый смеситель, V-образный смеситель); </w:t>
      </w:r>
    </w:p>
    <w:bookmarkEnd w:id="85"/>
    <w:bookmarkStart w:name="z92" w:id="86"/>
    <w:p>
      <w:pPr>
        <w:spacing w:after="0"/>
        <w:ind w:left="0"/>
        <w:jc w:val="both"/>
      </w:pPr>
      <w:r>
        <w:rPr>
          <w:rFonts w:ascii="Times New Roman"/>
          <w:b w:val="false"/>
          <w:i w:val="false"/>
          <w:color w:val="000000"/>
          <w:sz w:val="28"/>
        </w:rPr>
        <w:t>
      ж) таблетирования с помощью таблеточного пресса, оборудованного измерительными приборами или управляемого вручную.</w:t>
      </w:r>
    </w:p>
    <w:bookmarkEnd w:id="86"/>
    <w:bookmarkStart w:name="z93" w:id="87"/>
    <w:p>
      <w:pPr>
        <w:spacing w:after="0"/>
        <w:ind w:left="0"/>
        <w:jc w:val="both"/>
      </w:pPr>
      <w:r>
        <w:rPr>
          <w:rFonts w:ascii="Times New Roman"/>
          <w:b w:val="false"/>
          <w:i w:val="false"/>
          <w:color w:val="000000"/>
          <w:sz w:val="28"/>
        </w:rPr>
        <w:t xml:space="preserve">
      43. В отношении жидких лекарственных форм приготовление растворов может осуществляться в контейнерах из нелегированной нержавеющей стали, оборудованных мешалкой и (или) гомогенизатором или смешивающим (гомогенизирующим) оборудованием, которое может работать в условиях вакуума. </w:t>
      </w:r>
    </w:p>
    <w:bookmarkEnd w:id="87"/>
    <w:bookmarkStart w:name="z94" w:id="88"/>
    <w:p>
      <w:pPr>
        <w:spacing w:after="0"/>
        <w:ind w:left="0"/>
        <w:jc w:val="left"/>
      </w:pPr>
      <w:r>
        <w:rPr>
          <w:rFonts w:ascii="Times New Roman"/>
          <w:b/>
          <w:i w:val="false"/>
          <w:color w:val="000000"/>
        </w:rPr>
        <w:t xml:space="preserve"> Контроль критических стадий и промежуточной продукции</w:t>
      </w:r>
    </w:p>
    <w:bookmarkEnd w:id="88"/>
    <w:bookmarkStart w:name="z95" w:id="89"/>
    <w:p>
      <w:pPr>
        <w:spacing w:after="0"/>
        <w:ind w:left="0"/>
        <w:jc w:val="both"/>
      </w:pPr>
      <w:r>
        <w:rPr>
          <w:rFonts w:ascii="Times New Roman"/>
          <w:b w:val="false"/>
          <w:i w:val="false"/>
          <w:color w:val="000000"/>
          <w:sz w:val="28"/>
        </w:rPr>
        <w:t>
      44. В разделе 3.2.Р.3.4 модуля 3 регистрационного досье необходимо указать все критические стадии и промежуточные продукты, рассматриваемые в качестве таковых во время производства готового препарата, включая все виды внутрипроизводственного контроля, используемые аналитические методики и критерии приемлемости. В случае сложных стратегий контроля (например, использования моделей производственного контроля, непрерывного производства) внимание следует уделить видам внутрипроизводственного контроля, при этом необходимо четко указать порядок принятия решений о выпускающих испытаниях и выпуске препарата. Необходимо представить сведения о порядке выявления и работы с непредвиденными отклонениями от промышленного процесса производства для обеспечения сохранности целевого качества лекарственного препарата. Тот факт, что технологический параметр производственной стадии контролируется и верифицируется как находящийся в пределах диапазона, который не влияет на критический показатель качества, не делает его некритическим по умолчанию. Несмотря на снижение риска, с целью обеспечения достаточного регуляторного надзора в описание необходимо включить мониторинг с установленными критериями приемлемости. Необходимо представить обоснование отнесения стадий к критическим и некритическим, включая ссылку на экспериментальные данные в разделе по фармацевтической разработке (например, таблицу оценки рисков), если применимо.</w:t>
      </w:r>
    </w:p>
    <w:bookmarkEnd w:id="89"/>
    <w:bookmarkStart w:name="z96" w:id="90"/>
    <w:p>
      <w:pPr>
        <w:spacing w:after="0"/>
        <w:ind w:left="0"/>
        <w:jc w:val="left"/>
      </w:pPr>
      <w:r>
        <w:rPr>
          <w:rFonts w:ascii="Times New Roman"/>
          <w:b/>
          <w:i w:val="false"/>
          <w:color w:val="000000"/>
        </w:rPr>
        <w:t xml:space="preserve"> Хранение нерасфасованного продукта </w:t>
      </w:r>
    </w:p>
    <w:bookmarkEnd w:id="90"/>
    <w:bookmarkStart w:name="z97" w:id="91"/>
    <w:p>
      <w:pPr>
        <w:spacing w:after="0"/>
        <w:ind w:left="0"/>
        <w:jc w:val="both"/>
      </w:pPr>
      <w:r>
        <w:rPr>
          <w:rFonts w:ascii="Times New Roman"/>
          <w:b w:val="false"/>
          <w:i w:val="false"/>
          <w:color w:val="000000"/>
          <w:sz w:val="28"/>
        </w:rPr>
        <w:t xml:space="preserve">
      45. Промежуточный продукт представляет собой продукцию, прошедшую ряд производственных операций, которая должна пройти последующие стадии прежде, чем она станет нерасфасованным продуктом (например, грануляты, таблетки без оболочки и т. д.). </w:t>
      </w:r>
    </w:p>
    <w:bookmarkEnd w:id="91"/>
    <w:bookmarkStart w:name="z98" w:id="92"/>
    <w:p>
      <w:pPr>
        <w:spacing w:after="0"/>
        <w:ind w:left="0"/>
        <w:jc w:val="both"/>
      </w:pPr>
      <w:r>
        <w:rPr>
          <w:rFonts w:ascii="Times New Roman"/>
          <w:b w:val="false"/>
          <w:i w:val="false"/>
          <w:color w:val="000000"/>
          <w:sz w:val="28"/>
        </w:rPr>
        <w:t>
      46. Нерасфасованный продукт представляет собой продукт, прошедший все стадии процесса производства, за исключением окончательной упаковки.</w:t>
      </w:r>
    </w:p>
    <w:bookmarkEnd w:id="92"/>
    <w:bookmarkStart w:name="z99" w:id="93"/>
    <w:p>
      <w:pPr>
        <w:spacing w:after="0"/>
        <w:ind w:left="0"/>
        <w:jc w:val="both"/>
      </w:pPr>
      <w:r>
        <w:rPr>
          <w:rFonts w:ascii="Times New Roman"/>
          <w:b w:val="false"/>
          <w:i w:val="false"/>
          <w:color w:val="000000"/>
          <w:sz w:val="28"/>
        </w:rPr>
        <w:t xml:space="preserve">
      47. Процесс производства, как правило, предусматривает серию единичных операций, на которых промежуточный продукт обрабатывается до нерасфасованного продукта. </w:t>
      </w:r>
    </w:p>
    <w:bookmarkEnd w:id="93"/>
    <w:bookmarkStart w:name="z100" w:id="94"/>
    <w:p>
      <w:pPr>
        <w:spacing w:after="0"/>
        <w:ind w:left="0"/>
        <w:jc w:val="both"/>
      </w:pPr>
      <w:r>
        <w:rPr>
          <w:rFonts w:ascii="Times New Roman"/>
          <w:b w:val="false"/>
          <w:i w:val="false"/>
          <w:color w:val="000000"/>
          <w:sz w:val="28"/>
        </w:rPr>
        <w:t>
      48. Таким образом, каждый выделенный материал может считаться промежуточным или нерасфасованным продуктом. В некоторых случаях промежуточный продукт допускается хранить и при необходимости транспортировать в соответствующем контейнере перед его дальнейшей обработкой. Он также может подвергаться испытаниям перед продолжением обработки для подтверждения того, что показатели качества не изменились, поэтому необходимо представить все дополнительные данные об испытаниях. Валидация времени хранения (перерыва) между операциями для промежуточного продукта выполняется в рамках соблюдения Правил надлежащей производственной практики и, как правило, не требует представления в рутинном порядке в заявлении о регистрации. Вместе с тем некоторые специфические виды препаратов (например, стерильные препараты, биологические препараты) могут потребовать представления данных, значимых для вида лекарственного препарата, который следует учитывать в зависимости от характеристик такого препарата.</w:t>
      </w:r>
    </w:p>
    <w:bookmarkEnd w:id="94"/>
    <w:bookmarkStart w:name="z101" w:id="95"/>
    <w:p>
      <w:pPr>
        <w:spacing w:after="0"/>
        <w:ind w:left="0"/>
        <w:jc w:val="both"/>
      </w:pPr>
      <w:r>
        <w:rPr>
          <w:rFonts w:ascii="Times New Roman"/>
          <w:b w:val="false"/>
          <w:i w:val="false"/>
          <w:color w:val="000000"/>
          <w:sz w:val="28"/>
        </w:rPr>
        <w:t>
      49. Хранение промежуточного или нерасфасованного продукта – это любая стадия процесса производства любой фармацевтической продукции, на которой промежуточная или нерасфасованная продукция хранится в соответствующей зоне хранения перед дальнейшей обработкой (например, нерасфасованный раствор перед розливом, грануляты, таблетки без оболочки и т. д.).</w:t>
      </w:r>
    </w:p>
    <w:bookmarkEnd w:id="95"/>
    <w:bookmarkStart w:name="z102" w:id="96"/>
    <w:p>
      <w:pPr>
        <w:spacing w:after="0"/>
        <w:ind w:left="0"/>
        <w:jc w:val="both"/>
      </w:pPr>
      <w:r>
        <w:rPr>
          <w:rFonts w:ascii="Times New Roman"/>
          <w:b w:val="false"/>
          <w:i w:val="false"/>
          <w:color w:val="000000"/>
          <w:sz w:val="28"/>
        </w:rPr>
        <w:t>
      50. Следует указать, требуется ли выделение времени хранения (перерыва) между операциями для лекарственного препарата перед заключительной упаковкой (если да, то при какой температуре, влажности и других окружающих условиях). Подробность сведений, представляемых в документации, зависит от природы нерасфасованного препарата.</w:t>
      </w:r>
    </w:p>
    <w:bookmarkEnd w:id="96"/>
    <w:bookmarkStart w:name="z103" w:id="97"/>
    <w:p>
      <w:pPr>
        <w:spacing w:after="0"/>
        <w:ind w:left="0"/>
        <w:jc w:val="both"/>
      </w:pPr>
      <w:r>
        <w:rPr>
          <w:rFonts w:ascii="Times New Roman"/>
          <w:b w:val="false"/>
          <w:i w:val="false"/>
          <w:color w:val="000000"/>
          <w:sz w:val="28"/>
        </w:rPr>
        <w:t>
      51. В релевантных случаях в разделе 3.2.Р.8 регистрационного досье лекарственного препарата следует указать, соответствующим образом обосновать и подтвердить данными максимальное время хранения (перерыва) между операциями для нерасфасованного лекарственного препарата или в качестве альтернативы максимальное время производства серии от начала производства препарата до завершения упаковки в заключительный первичный контейнер для выпуска в обращение на рынке (например, представляя результаты изучения максимального времени перерыва в исследованиях по валидации процесса производства или результаты специальных исследований стабильности при хранении нерасфасованного продукта).</w:t>
      </w:r>
    </w:p>
    <w:bookmarkEnd w:id="97"/>
    <w:bookmarkStart w:name="z104" w:id="98"/>
    <w:p>
      <w:pPr>
        <w:spacing w:after="0"/>
        <w:ind w:left="0"/>
        <w:jc w:val="both"/>
      </w:pPr>
      <w:r>
        <w:rPr>
          <w:rFonts w:ascii="Times New Roman"/>
          <w:b w:val="false"/>
          <w:i w:val="false"/>
          <w:color w:val="000000"/>
          <w:sz w:val="28"/>
        </w:rPr>
        <w:t>
      52. Необходимо представить причины увеличения времени хранения (перерыва) между операциями, которые должны соответствовать Правилам надлежащей производственной практики. Необходимо минимизировать предельную продолжительность обработки с обоснованием пределов, которые должны быть достаточны для обеспечения качества лекарственного препарата. По общему правилу под продленным хранением понимается хранение более 30 дней для твердых лекарственных форм для приема внутрь и более</w:t>
      </w:r>
      <w:r>
        <w:br/>
      </w:r>
      <w:r>
        <w:rPr>
          <w:rFonts w:ascii="Times New Roman"/>
          <w:b w:val="false"/>
          <w:i w:val="false"/>
          <w:color w:val="000000"/>
          <w:sz w:val="28"/>
        </w:rPr>
        <w:t>24 часов для стерильных лекарственных препаратов. Если значимо, для обоснования времени хранения (перерыва) между операциями необходимо представить данные стабильности по меньшей мере 2 опытно-промышленных серий. Исследования стабильности необходимо проводить при релевантной температуре и влажности в отношении ожидаемых условий хранения нерасфасованной продукции (если релевантная температура и влажность во время хранения не соответствуют Требованиям к исследованию стабильности лекарственных препаратов и фармацевтических субстанций, утвержденным Решением Евразийской экономической комиссии от 10 мая 2018 г. № 69).</w:t>
      </w:r>
    </w:p>
    <w:bookmarkEnd w:id="98"/>
    <w:bookmarkStart w:name="z105" w:id="99"/>
    <w:p>
      <w:pPr>
        <w:spacing w:after="0"/>
        <w:ind w:left="0"/>
        <w:jc w:val="both"/>
      </w:pPr>
      <w:r>
        <w:rPr>
          <w:rFonts w:ascii="Times New Roman"/>
          <w:b w:val="false"/>
          <w:i w:val="false"/>
          <w:color w:val="000000"/>
          <w:sz w:val="28"/>
        </w:rPr>
        <w:t xml:space="preserve">
      53. В соответствующих случаях необходимо представить данные стабильности для обоснования времени хранения (как минимум для 2 опытно-промышленных серий). Испытания стабильности должны проводиться при соответствующей температуре и относительной влажности с учетом предполагаемых условий бестарного хранения (если соответствующая температура и влажность во время хранения не соответствуют условиям, указанным в соответствующем руководстве, то должны применяться другие условия). </w:t>
      </w:r>
    </w:p>
    <w:bookmarkEnd w:id="99"/>
    <w:bookmarkStart w:name="z106" w:id="100"/>
    <w:p>
      <w:pPr>
        <w:spacing w:after="0"/>
        <w:ind w:left="0"/>
        <w:jc w:val="both"/>
      </w:pPr>
      <w:r>
        <w:rPr>
          <w:rFonts w:ascii="Times New Roman"/>
          <w:b w:val="false"/>
          <w:i w:val="false"/>
          <w:color w:val="000000"/>
          <w:sz w:val="28"/>
        </w:rPr>
        <w:t xml:space="preserve">
      54. При бестарном хранении срок годности продукции должен рассчитываться в соответствии с принципами начала отсчета срока годности готовых лекарственных форм.. Если предлагаются другие подходы к расчету срока годности, они должны быть описаны и подтверждены путем указания серий, которые отражают предложенные периоды хранения нерасфасованной (промежуточной) продукции в программе испытаний на стабильность готовой продукции. </w:t>
      </w:r>
    </w:p>
    <w:bookmarkEnd w:id="100"/>
    <w:bookmarkStart w:name="z107" w:id="101"/>
    <w:p>
      <w:pPr>
        <w:spacing w:after="0"/>
        <w:ind w:left="0"/>
        <w:jc w:val="both"/>
      </w:pPr>
      <w:r>
        <w:rPr>
          <w:rFonts w:ascii="Times New Roman"/>
          <w:b w:val="false"/>
          <w:i w:val="false"/>
          <w:color w:val="000000"/>
          <w:sz w:val="28"/>
        </w:rPr>
        <w:t xml:space="preserve">
      55. Процедура транспортировки полупродукта и нерасфасованного продукта между производственными площадками должна быть описана и обоснована. Должны учитываться принципы </w:t>
      </w:r>
      <w:r>
        <w:rPr>
          <w:rFonts w:ascii="Times New Roman"/>
          <w:b w:val="false"/>
          <w:i w:val="false"/>
          <w:color w:val="000000"/>
          <w:sz w:val="28"/>
        </w:rPr>
        <w:t>Правил</w:t>
      </w:r>
      <w:r>
        <w:rPr>
          <w:rFonts w:ascii="Times New Roman"/>
          <w:b w:val="false"/>
          <w:i w:val="false"/>
          <w:color w:val="000000"/>
          <w:sz w:val="28"/>
        </w:rPr>
        <w:t xml:space="preserve"> надлежащей дистрибьюторской практики в рамках Евразийского экономического союза, утвержденных Решением Совета Евразийской экономической комиссии от 3 ноября 2016 г. № 80, и положения </w:t>
      </w:r>
      <w:r>
        <w:rPr>
          <w:rFonts w:ascii="Times New Roman"/>
          <w:b w:val="false"/>
          <w:i w:val="false"/>
          <w:color w:val="000000"/>
          <w:sz w:val="28"/>
        </w:rPr>
        <w:t>приложения № 15</w:t>
      </w:r>
      <w:r>
        <w:rPr>
          <w:rFonts w:ascii="Times New Roman"/>
          <w:b w:val="false"/>
          <w:i w:val="false"/>
          <w:color w:val="000000"/>
          <w:sz w:val="28"/>
        </w:rPr>
        <w:t xml:space="preserve"> к Правилам надлежащей производственной практики. Результат краткосрочных или продолжительных отклонений от исходных условий хранения должен обсуждаться и при необходимости подтверждаться данными об ускоренных испытаниях стабильности. </w:t>
      </w:r>
    </w:p>
    <w:bookmarkEnd w:id="101"/>
    <w:bookmarkStart w:name="z108" w:id="102"/>
    <w:p>
      <w:pPr>
        <w:spacing w:after="0"/>
        <w:ind w:left="0"/>
        <w:jc w:val="both"/>
      </w:pPr>
      <w:r>
        <w:rPr>
          <w:rFonts w:ascii="Times New Roman"/>
          <w:b w:val="false"/>
          <w:i w:val="false"/>
          <w:color w:val="000000"/>
          <w:sz w:val="28"/>
        </w:rPr>
        <w:t>
      56. Должна быть обоснована пригодность предлагаемой системы упаковки (укупорки) нерасфасованной продукции. Вид и объем необходимой информации зависят от природы нерасфасованной продукции. Материалы системы упаковки (укупорки) нерасфасованной продукции должны быть описаны в регистрационном досье лекарственного препарата. Для контроля материалов системы упаковки (укупорки) нерасфасованной продукции должны быть представлены спецификации.</w:t>
      </w:r>
    </w:p>
    <w:bookmarkEnd w:id="102"/>
    <w:bookmarkStart w:name="z109" w:id="103"/>
    <w:p>
      <w:pPr>
        <w:spacing w:after="0"/>
        <w:ind w:left="0"/>
        <w:jc w:val="left"/>
      </w:pPr>
      <w:r>
        <w:rPr>
          <w:rFonts w:ascii="Times New Roman"/>
          <w:b/>
          <w:i w:val="false"/>
          <w:color w:val="000000"/>
        </w:rPr>
        <w:t xml:space="preserve"> Валидация процесса производства и (или) его оценка</w:t>
      </w:r>
    </w:p>
    <w:bookmarkEnd w:id="103"/>
    <w:bookmarkStart w:name="z110" w:id="104"/>
    <w:p>
      <w:pPr>
        <w:spacing w:after="0"/>
        <w:ind w:left="0"/>
        <w:jc w:val="both"/>
      </w:pPr>
      <w:r>
        <w:rPr>
          <w:rFonts w:ascii="Times New Roman"/>
          <w:b w:val="false"/>
          <w:i w:val="false"/>
          <w:color w:val="000000"/>
          <w:sz w:val="28"/>
        </w:rPr>
        <w:t xml:space="preserve">
      57. В разделе 3.2.Р.3.5 модуля 3 регистрационного досье должны быть представлены описание, результаты валидации и (или) оценочных исследований и соответствующая документация. Более подробная информация приведена в </w:t>
      </w:r>
      <w:r>
        <w:rPr>
          <w:rFonts w:ascii="Times New Roman"/>
          <w:b w:val="false"/>
          <w:i w:val="false"/>
          <w:color w:val="000000"/>
          <w:sz w:val="28"/>
        </w:rPr>
        <w:t>Рекомендации</w:t>
      </w:r>
      <w:r>
        <w:rPr>
          <w:rFonts w:ascii="Times New Roman"/>
          <w:b w:val="false"/>
          <w:i w:val="false"/>
          <w:color w:val="000000"/>
          <w:sz w:val="28"/>
        </w:rPr>
        <w:t xml:space="preserve"> Коллегии Евразийской экономической комиссии от 26 сентября 2017 г. № 19 "О Руководстве по валидации процесса производства лекарственных препаратов для медицинского применения".</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Руководству по производству</w:t>
            </w:r>
            <w:r>
              <w:br/>
            </w:r>
            <w:r>
              <w:rPr>
                <w:rFonts w:ascii="Times New Roman"/>
                <w:b w:val="false"/>
                <w:i w:val="false"/>
                <w:color w:val="000000"/>
                <w:sz w:val="20"/>
              </w:rPr>
              <w:t>готовых лекарственных форм</w:t>
            </w:r>
            <w:r>
              <w:br/>
            </w:r>
            <w:r>
              <w:rPr>
                <w:rFonts w:ascii="Times New Roman"/>
                <w:b w:val="false"/>
                <w:i w:val="false"/>
                <w:color w:val="000000"/>
                <w:sz w:val="20"/>
              </w:rPr>
              <w:t>лекарственных препаратов</w:t>
            </w:r>
          </w:p>
        </w:tc>
      </w:tr>
    </w:tbl>
    <w:bookmarkStart w:name="z113" w:id="105"/>
    <w:p>
      <w:pPr>
        <w:spacing w:after="0"/>
        <w:ind w:left="0"/>
        <w:jc w:val="left"/>
      </w:pPr>
      <w:r>
        <w:rPr>
          <w:rFonts w:ascii="Times New Roman"/>
          <w:b/>
          <w:i w:val="false"/>
          <w:color w:val="000000"/>
        </w:rPr>
        <w:t xml:space="preserve"> ОПИСАНИЕ</w:t>
      </w:r>
      <w:r>
        <w:br/>
      </w:r>
      <w:r>
        <w:rPr>
          <w:rFonts w:ascii="Times New Roman"/>
          <w:b/>
          <w:i w:val="false"/>
          <w:color w:val="000000"/>
        </w:rPr>
        <w:t>процесса производства готовых лекарственных форм лекарственных препаратов (пример)</w:t>
      </w:r>
    </w:p>
    <w:bookmarkEnd w:id="105"/>
    <w:bookmarkStart w:name="z114" w:id="106"/>
    <w:p>
      <w:pPr>
        <w:spacing w:after="0"/>
        <w:ind w:left="0"/>
        <w:jc w:val="left"/>
      </w:pPr>
      <w:r>
        <w:rPr>
          <w:rFonts w:ascii="Times New Roman"/>
          <w:b/>
          <w:i w:val="false"/>
          <w:color w:val="000000"/>
        </w:rPr>
        <w:t xml:space="preserve"> I. Общие положения</w:t>
      </w:r>
    </w:p>
    <w:bookmarkEnd w:id="106"/>
    <w:bookmarkStart w:name="z115" w:id="107"/>
    <w:p>
      <w:pPr>
        <w:spacing w:after="0"/>
        <w:ind w:left="0"/>
        <w:jc w:val="both"/>
      </w:pPr>
      <w:r>
        <w:rPr>
          <w:rFonts w:ascii="Times New Roman"/>
          <w:b w:val="false"/>
          <w:i w:val="false"/>
          <w:color w:val="000000"/>
          <w:sz w:val="28"/>
        </w:rPr>
        <w:t>
      Настоящий документ содержит пример детализации описания условного процесса производства в зависимости от выбранного подхода к разработке лекарственного препарата. Указанные технологические параметры в данном примере являются условными. Описание реального процесса производства лекарственного препарата необходимо представлять в соответствии с конкретным разработанным и валидированным процессом производства.</w:t>
      </w:r>
    </w:p>
    <w:bookmarkEnd w:id="107"/>
    <w:bookmarkStart w:name="z116" w:id="108"/>
    <w:p>
      <w:pPr>
        <w:spacing w:after="0"/>
        <w:ind w:left="0"/>
        <w:jc w:val="both"/>
      </w:pPr>
      <w:r>
        <w:rPr>
          <w:rFonts w:ascii="Times New Roman"/>
          <w:b w:val="false"/>
          <w:i w:val="false"/>
          <w:color w:val="000000"/>
          <w:sz w:val="28"/>
        </w:rPr>
        <w:t>
      В приведенном описании представлены отдельные элементы разработки процесса производства, которые включаются для объяснения сведений, представленных в разделе 3.P.3.3 модуля 3 регистрационного досье лекарственного препарата.</w:t>
      </w:r>
    </w:p>
    <w:bookmarkEnd w:id="108"/>
    <w:bookmarkStart w:name="z117" w:id="109"/>
    <w:p>
      <w:pPr>
        <w:spacing w:after="0"/>
        <w:ind w:left="0"/>
        <w:jc w:val="both"/>
      </w:pPr>
      <w:r>
        <w:rPr>
          <w:rFonts w:ascii="Times New Roman"/>
          <w:b w:val="false"/>
          <w:i w:val="false"/>
          <w:color w:val="000000"/>
          <w:sz w:val="28"/>
        </w:rPr>
        <w:t>
      В представленной степени детализации с точки зрения стадий и параметров процесса производства, указанных в разделе 3.2.P.3.3 модуля 3 регистрационного досье лекарственного препарата, применяются одинаковые базовые требования, независимо от подхода к фармацевтической разработке (минимального (традиционного) или углубленного). Вместе с тем в зависимости от глубины понимания процесса производства, полученной во время разработки, а также стратегии контроля способ представления сведений может несколько отличаться от представленного варианта описания, а процесс производства будет отражать всю обоснованную и аргументированную гибкость, если использовался углубленный подход к разработке (например, широкие диапазоны, установленные на многовариантной основе).</w:t>
      </w:r>
    </w:p>
    <w:bookmarkEnd w:id="109"/>
    <w:bookmarkStart w:name="z118" w:id="110"/>
    <w:p>
      <w:pPr>
        <w:spacing w:after="0"/>
        <w:ind w:left="0"/>
        <w:jc w:val="both"/>
      </w:pPr>
      <w:r>
        <w:rPr>
          <w:rFonts w:ascii="Times New Roman"/>
          <w:b w:val="false"/>
          <w:i w:val="false"/>
          <w:color w:val="000000"/>
          <w:sz w:val="28"/>
        </w:rPr>
        <w:t>
      В приведенном описании также приводятся следующие сведения:</w:t>
      </w:r>
    </w:p>
    <w:bookmarkEnd w:id="110"/>
    <w:bookmarkStart w:name="z119" w:id="111"/>
    <w:p>
      <w:pPr>
        <w:spacing w:after="0"/>
        <w:ind w:left="0"/>
        <w:jc w:val="both"/>
      </w:pPr>
      <w:r>
        <w:rPr>
          <w:rFonts w:ascii="Times New Roman"/>
          <w:b w:val="false"/>
          <w:i w:val="false"/>
          <w:color w:val="000000"/>
          <w:sz w:val="28"/>
        </w:rPr>
        <w:t>
      принцип процесса производства;</w:t>
      </w:r>
    </w:p>
    <w:bookmarkEnd w:id="111"/>
    <w:bookmarkStart w:name="z120" w:id="112"/>
    <w:p>
      <w:pPr>
        <w:spacing w:after="0"/>
        <w:ind w:left="0"/>
        <w:jc w:val="both"/>
      </w:pPr>
      <w:r>
        <w:rPr>
          <w:rFonts w:ascii="Times New Roman"/>
          <w:b w:val="false"/>
          <w:i w:val="false"/>
          <w:color w:val="000000"/>
          <w:sz w:val="28"/>
        </w:rPr>
        <w:t>
      вид используемого оборудования;</w:t>
      </w:r>
    </w:p>
    <w:bookmarkEnd w:id="112"/>
    <w:bookmarkStart w:name="z121" w:id="113"/>
    <w:p>
      <w:pPr>
        <w:spacing w:after="0"/>
        <w:ind w:left="0"/>
        <w:jc w:val="both"/>
      </w:pPr>
      <w:r>
        <w:rPr>
          <w:rFonts w:ascii="Times New Roman"/>
          <w:b w:val="false"/>
          <w:i w:val="false"/>
          <w:color w:val="000000"/>
          <w:sz w:val="28"/>
        </w:rPr>
        <w:t xml:space="preserve">
      технологические параметры (вместе с целевыми значениями или диапазонами), обеспечивающие исчерпывающее описание единичной операции. </w:t>
      </w:r>
    </w:p>
    <w:bookmarkEnd w:id="113"/>
    <w:bookmarkStart w:name="z122" w:id="114"/>
    <w:p>
      <w:pPr>
        <w:spacing w:after="0"/>
        <w:ind w:left="0"/>
        <w:jc w:val="both"/>
      </w:pPr>
      <w:r>
        <w:rPr>
          <w:rFonts w:ascii="Times New Roman"/>
          <w:b w:val="false"/>
          <w:i w:val="false"/>
          <w:color w:val="000000"/>
          <w:sz w:val="28"/>
        </w:rPr>
        <w:t>
      В случае наличия данных, позволяющих присвоить статус критичности технологическим параметрам, в описание необходимо включать как критические, так и некритические параметры.</w:t>
      </w:r>
    </w:p>
    <w:bookmarkEnd w:id="114"/>
    <w:bookmarkStart w:name="z123" w:id="115"/>
    <w:p>
      <w:pPr>
        <w:spacing w:after="0"/>
        <w:ind w:left="0"/>
        <w:jc w:val="both"/>
      </w:pPr>
      <w:r>
        <w:rPr>
          <w:rFonts w:ascii="Times New Roman"/>
          <w:b w:val="false"/>
          <w:i w:val="false"/>
          <w:color w:val="000000"/>
          <w:sz w:val="28"/>
        </w:rPr>
        <w:t>
      В представленном описании сокращен перечень технологических параметров, по сравнению с "перечнем ранней разработки", поскольку при его составлении исходили из условного примера процесса производства, в котором учтены следующие критерии:</w:t>
      </w:r>
    </w:p>
    <w:bookmarkEnd w:id="115"/>
    <w:bookmarkStart w:name="z124" w:id="116"/>
    <w:p>
      <w:pPr>
        <w:spacing w:after="0"/>
        <w:ind w:left="0"/>
        <w:jc w:val="both"/>
      </w:pPr>
      <w:r>
        <w:rPr>
          <w:rFonts w:ascii="Times New Roman"/>
          <w:b w:val="false"/>
          <w:i w:val="false"/>
          <w:color w:val="000000"/>
          <w:sz w:val="28"/>
        </w:rPr>
        <w:t>
      природа действующего вещества (например, действующее вещество химически стабильно, и тем самым нет необходимости описывать окружающую температуру и температуру препарата);</w:t>
      </w:r>
    </w:p>
    <w:bookmarkEnd w:id="116"/>
    <w:bookmarkStart w:name="z125" w:id="117"/>
    <w:p>
      <w:pPr>
        <w:spacing w:after="0"/>
        <w:ind w:left="0"/>
        <w:jc w:val="both"/>
      </w:pPr>
      <w:r>
        <w:rPr>
          <w:rFonts w:ascii="Times New Roman"/>
          <w:b w:val="false"/>
          <w:i w:val="false"/>
          <w:color w:val="000000"/>
          <w:sz w:val="28"/>
        </w:rPr>
        <w:t>
      степень сложности лекарственной формы (например, доля действующего вещества в таблетке высока, и тем самым отсутствует необходимость подробно описывать стадию предварительного смешивания);</w:t>
      </w:r>
    </w:p>
    <w:bookmarkEnd w:id="117"/>
    <w:bookmarkStart w:name="z126" w:id="118"/>
    <w:p>
      <w:pPr>
        <w:spacing w:after="0"/>
        <w:ind w:left="0"/>
        <w:jc w:val="both"/>
      </w:pPr>
      <w:r>
        <w:rPr>
          <w:rFonts w:ascii="Times New Roman"/>
          <w:b w:val="false"/>
          <w:i w:val="false"/>
          <w:color w:val="000000"/>
          <w:sz w:val="28"/>
        </w:rPr>
        <w:t>
      степень сложности процесса производства (например, просеивание сырья перед обработкой является факультативной стадией, поэтому нет необходимости описывать размер сита для просеивания; приготовление связующего раствора является простой операцией, контроль которой осуществляется простым визуальным осмотром готового раствора, поэтому нет необходимости описывать параметры смешивания; добавление гранулирующего раствора находит должное отражение в выходной скорости потока, поэтому нет необходимости указывать давление жидкости и скорость работы насоса).</w:t>
      </w:r>
    </w:p>
    <w:bookmarkEnd w:id="118"/>
    <w:bookmarkStart w:name="z127" w:id="119"/>
    <w:p>
      <w:pPr>
        <w:spacing w:after="0"/>
        <w:ind w:left="0"/>
        <w:jc w:val="left"/>
      </w:pPr>
      <w:r>
        <w:rPr>
          <w:rFonts w:ascii="Times New Roman"/>
          <w:b/>
          <w:i w:val="false"/>
          <w:color w:val="000000"/>
        </w:rPr>
        <w:t xml:space="preserve"> II. Пример описания процесса производства</w:t>
      </w:r>
    </w:p>
    <w:bookmarkEnd w:id="119"/>
    <w:bookmarkStart w:name="z128" w:id="120"/>
    <w:p>
      <w:pPr>
        <w:spacing w:after="0"/>
        <w:ind w:left="0"/>
        <w:jc w:val="left"/>
      </w:pPr>
      <w:r>
        <w:rPr>
          <w:rFonts w:ascii="Times New Roman"/>
          <w:b/>
          <w:i w:val="false"/>
          <w:color w:val="000000"/>
        </w:rPr>
        <w:t xml:space="preserve"> 1. Детализация процесса производства в виде перечня</w:t>
      </w:r>
    </w:p>
    <w:bookmarkEnd w:id="120"/>
    <w:bookmarkStart w:name="z129" w:id="121"/>
    <w:p>
      <w:pPr>
        <w:spacing w:after="0"/>
        <w:ind w:left="0"/>
        <w:jc w:val="both"/>
      </w:pPr>
      <w:r>
        <w:rPr>
          <w:rFonts w:ascii="Times New Roman"/>
          <w:b w:val="false"/>
          <w:i w:val="false"/>
          <w:color w:val="000000"/>
          <w:sz w:val="28"/>
        </w:rPr>
        <w:t>
      Готовый препарат: 200 мг таблетки.</w:t>
      </w:r>
    </w:p>
    <w:bookmarkEnd w:id="121"/>
    <w:bookmarkStart w:name="z130" w:id="122"/>
    <w:p>
      <w:pPr>
        <w:spacing w:after="0"/>
        <w:ind w:left="0"/>
        <w:jc w:val="both"/>
      </w:pPr>
      <w:r>
        <w:rPr>
          <w:rFonts w:ascii="Times New Roman"/>
          <w:b w:val="false"/>
          <w:i w:val="false"/>
          <w:color w:val="000000"/>
          <w:sz w:val="28"/>
        </w:rPr>
        <w:t>
      Технологическая стадия: грануляция.</w:t>
      </w:r>
    </w:p>
    <w:bookmarkEnd w:id="122"/>
    <w:bookmarkStart w:name="z131" w:id="123"/>
    <w:p>
      <w:pPr>
        <w:spacing w:after="0"/>
        <w:ind w:left="0"/>
        <w:jc w:val="both"/>
      </w:pPr>
      <w:r>
        <w:rPr>
          <w:rFonts w:ascii="Times New Roman"/>
          <w:b w:val="false"/>
          <w:i w:val="false"/>
          <w:color w:val="000000"/>
          <w:sz w:val="28"/>
        </w:rPr>
        <w:t>
      Принцип работы: влажная грануляция с большим сдвиговым усилием.</w:t>
      </w:r>
    </w:p>
    <w:bookmarkEnd w:id="123"/>
    <w:bookmarkStart w:name="z132" w:id="124"/>
    <w:p>
      <w:pPr>
        <w:spacing w:after="0"/>
        <w:ind w:left="0"/>
        <w:jc w:val="both"/>
      </w:pPr>
      <w:r>
        <w:rPr>
          <w:rFonts w:ascii="Times New Roman"/>
          <w:b w:val="false"/>
          <w:i w:val="false"/>
          <w:color w:val="000000"/>
          <w:sz w:val="28"/>
        </w:rPr>
        <w:t>
      Вид оборудования: вертикальный формовочный гранулятор.</w:t>
      </w:r>
    </w:p>
    <w:bookmarkEnd w:id="124"/>
    <w:bookmarkStart w:name="z133" w:id="125"/>
    <w:p>
      <w:pPr>
        <w:spacing w:after="0"/>
        <w:ind w:left="0"/>
        <w:jc w:val="both"/>
      </w:pPr>
      <w:r>
        <w:rPr>
          <w:rFonts w:ascii="Times New Roman"/>
          <w:b w:val="false"/>
          <w:i w:val="false"/>
          <w:color w:val="000000"/>
          <w:sz w:val="28"/>
        </w:rPr>
        <w:t>
      Перечень технологических параметров, потенциально учитывающий во время разработки (перечень ранней разработки):</w:t>
      </w:r>
    </w:p>
    <w:bookmarkEnd w:id="125"/>
    <w:bookmarkStart w:name="z134" w:id="126"/>
    <w:p>
      <w:pPr>
        <w:spacing w:after="0"/>
        <w:ind w:left="0"/>
        <w:jc w:val="both"/>
      </w:pPr>
      <w:r>
        <w:rPr>
          <w:rFonts w:ascii="Times New Roman"/>
          <w:b w:val="false"/>
          <w:i w:val="false"/>
          <w:color w:val="000000"/>
          <w:sz w:val="28"/>
        </w:rPr>
        <w:t>
      размер ячеек сита;</w:t>
      </w:r>
    </w:p>
    <w:bookmarkEnd w:id="126"/>
    <w:bookmarkStart w:name="z135" w:id="127"/>
    <w:p>
      <w:pPr>
        <w:spacing w:after="0"/>
        <w:ind w:left="0"/>
        <w:jc w:val="both"/>
      </w:pPr>
      <w:r>
        <w:rPr>
          <w:rFonts w:ascii="Times New Roman"/>
          <w:b w:val="false"/>
          <w:i w:val="false"/>
          <w:color w:val="000000"/>
          <w:sz w:val="28"/>
        </w:rPr>
        <w:t>
      время размешивания для приготовления гранулирующего раствора;</w:t>
      </w:r>
    </w:p>
    <w:bookmarkEnd w:id="127"/>
    <w:bookmarkStart w:name="z136" w:id="128"/>
    <w:p>
      <w:pPr>
        <w:spacing w:after="0"/>
        <w:ind w:left="0"/>
        <w:jc w:val="both"/>
      </w:pPr>
      <w:r>
        <w:rPr>
          <w:rFonts w:ascii="Times New Roman"/>
          <w:b w:val="false"/>
          <w:i w:val="false"/>
          <w:color w:val="000000"/>
          <w:sz w:val="28"/>
        </w:rPr>
        <w:t>
      скорость размешивания для приготовления гранулирующего раствора;</w:t>
      </w:r>
    </w:p>
    <w:bookmarkEnd w:id="128"/>
    <w:bookmarkStart w:name="z137" w:id="129"/>
    <w:p>
      <w:pPr>
        <w:spacing w:after="0"/>
        <w:ind w:left="0"/>
        <w:jc w:val="both"/>
      </w:pPr>
      <w:r>
        <w:rPr>
          <w:rFonts w:ascii="Times New Roman"/>
          <w:b w:val="false"/>
          <w:i w:val="false"/>
          <w:color w:val="000000"/>
          <w:sz w:val="28"/>
        </w:rPr>
        <w:t>
      объем наполнения;</w:t>
      </w:r>
    </w:p>
    <w:bookmarkEnd w:id="129"/>
    <w:bookmarkStart w:name="z138" w:id="130"/>
    <w:p>
      <w:pPr>
        <w:spacing w:after="0"/>
        <w:ind w:left="0"/>
        <w:jc w:val="both"/>
      </w:pPr>
      <w:r>
        <w:rPr>
          <w:rFonts w:ascii="Times New Roman"/>
          <w:b w:val="false"/>
          <w:i w:val="false"/>
          <w:color w:val="000000"/>
          <w:sz w:val="28"/>
        </w:rPr>
        <w:t>
      время приготовления предварительной смеси;</w:t>
      </w:r>
    </w:p>
    <w:bookmarkEnd w:id="130"/>
    <w:bookmarkStart w:name="z139" w:id="131"/>
    <w:p>
      <w:pPr>
        <w:spacing w:after="0"/>
        <w:ind w:left="0"/>
        <w:jc w:val="both"/>
      </w:pPr>
      <w:r>
        <w:rPr>
          <w:rFonts w:ascii="Times New Roman"/>
          <w:b w:val="false"/>
          <w:i w:val="false"/>
          <w:color w:val="000000"/>
          <w:sz w:val="28"/>
        </w:rPr>
        <w:t>
      скорость перемешивания предварительной смеси;</w:t>
      </w:r>
    </w:p>
    <w:bookmarkEnd w:id="131"/>
    <w:bookmarkStart w:name="z140" w:id="132"/>
    <w:p>
      <w:pPr>
        <w:spacing w:after="0"/>
        <w:ind w:left="0"/>
        <w:jc w:val="both"/>
      </w:pPr>
      <w:r>
        <w:rPr>
          <w:rFonts w:ascii="Times New Roman"/>
          <w:b w:val="false"/>
          <w:i w:val="false"/>
          <w:color w:val="000000"/>
          <w:sz w:val="28"/>
        </w:rPr>
        <w:t>
      скорость измельчения предварительной смеси;</w:t>
      </w:r>
    </w:p>
    <w:bookmarkEnd w:id="132"/>
    <w:bookmarkStart w:name="z141" w:id="133"/>
    <w:p>
      <w:pPr>
        <w:spacing w:after="0"/>
        <w:ind w:left="0"/>
        <w:jc w:val="both"/>
      </w:pPr>
      <w:r>
        <w:rPr>
          <w:rFonts w:ascii="Times New Roman"/>
          <w:b w:val="false"/>
          <w:i w:val="false"/>
          <w:color w:val="000000"/>
          <w:sz w:val="28"/>
        </w:rPr>
        <w:t>
      давление гранулирующего раствора;</w:t>
      </w:r>
    </w:p>
    <w:bookmarkEnd w:id="133"/>
    <w:bookmarkStart w:name="z142" w:id="134"/>
    <w:p>
      <w:pPr>
        <w:spacing w:after="0"/>
        <w:ind w:left="0"/>
        <w:jc w:val="both"/>
      </w:pPr>
      <w:r>
        <w:rPr>
          <w:rFonts w:ascii="Times New Roman"/>
          <w:b w:val="false"/>
          <w:i w:val="false"/>
          <w:color w:val="000000"/>
          <w:sz w:val="28"/>
        </w:rPr>
        <w:t>
      скорость нагнетания гранулирующего раствора;</w:t>
      </w:r>
    </w:p>
    <w:bookmarkEnd w:id="134"/>
    <w:bookmarkStart w:name="z143" w:id="135"/>
    <w:p>
      <w:pPr>
        <w:spacing w:after="0"/>
        <w:ind w:left="0"/>
        <w:jc w:val="both"/>
      </w:pPr>
      <w:r>
        <w:rPr>
          <w:rFonts w:ascii="Times New Roman"/>
          <w:b w:val="false"/>
          <w:i w:val="false"/>
          <w:color w:val="000000"/>
          <w:sz w:val="28"/>
        </w:rPr>
        <w:t>
      скорость потока гранулирующего раствора;</w:t>
      </w:r>
    </w:p>
    <w:bookmarkEnd w:id="135"/>
    <w:bookmarkStart w:name="z144" w:id="136"/>
    <w:p>
      <w:pPr>
        <w:spacing w:after="0"/>
        <w:ind w:left="0"/>
        <w:jc w:val="both"/>
      </w:pPr>
      <w:r>
        <w:rPr>
          <w:rFonts w:ascii="Times New Roman"/>
          <w:b w:val="false"/>
          <w:i w:val="false"/>
          <w:color w:val="000000"/>
          <w:sz w:val="28"/>
        </w:rPr>
        <w:t>
      количество гранулирующего раствора;</w:t>
      </w:r>
    </w:p>
    <w:bookmarkEnd w:id="136"/>
    <w:bookmarkStart w:name="z145" w:id="137"/>
    <w:p>
      <w:pPr>
        <w:spacing w:after="0"/>
        <w:ind w:left="0"/>
        <w:jc w:val="both"/>
      </w:pPr>
      <w:r>
        <w:rPr>
          <w:rFonts w:ascii="Times New Roman"/>
          <w:b w:val="false"/>
          <w:i w:val="false"/>
          <w:color w:val="000000"/>
          <w:sz w:val="28"/>
        </w:rPr>
        <w:t>
      скорость вращения мешалки в разные фазы грануляции;</w:t>
      </w:r>
    </w:p>
    <w:bookmarkEnd w:id="137"/>
    <w:bookmarkStart w:name="z146" w:id="138"/>
    <w:p>
      <w:pPr>
        <w:spacing w:after="0"/>
        <w:ind w:left="0"/>
        <w:jc w:val="both"/>
      </w:pPr>
      <w:r>
        <w:rPr>
          <w:rFonts w:ascii="Times New Roman"/>
          <w:b w:val="false"/>
          <w:i w:val="false"/>
          <w:color w:val="000000"/>
          <w:sz w:val="28"/>
        </w:rPr>
        <w:t>
      скорость вращения измельчителя в разные фазы грануляции;</w:t>
      </w:r>
    </w:p>
    <w:bookmarkEnd w:id="138"/>
    <w:bookmarkStart w:name="z147" w:id="139"/>
    <w:p>
      <w:pPr>
        <w:spacing w:after="0"/>
        <w:ind w:left="0"/>
        <w:jc w:val="both"/>
      </w:pPr>
      <w:r>
        <w:rPr>
          <w:rFonts w:ascii="Times New Roman"/>
          <w:b w:val="false"/>
          <w:i w:val="false"/>
          <w:color w:val="000000"/>
          <w:sz w:val="28"/>
        </w:rPr>
        <w:t>
      время формирования влажной массы;</w:t>
      </w:r>
    </w:p>
    <w:bookmarkEnd w:id="139"/>
    <w:bookmarkStart w:name="z148" w:id="140"/>
    <w:p>
      <w:pPr>
        <w:spacing w:after="0"/>
        <w:ind w:left="0"/>
        <w:jc w:val="both"/>
      </w:pPr>
      <w:r>
        <w:rPr>
          <w:rFonts w:ascii="Times New Roman"/>
          <w:b w:val="false"/>
          <w:i w:val="false"/>
          <w:color w:val="000000"/>
          <w:sz w:val="28"/>
        </w:rPr>
        <w:t>
      температура продукции;</w:t>
      </w:r>
    </w:p>
    <w:bookmarkEnd w:id="140"/>
    <w:bookmarkStart w:name="z149" w:id="141"/>
    <w:p>
      <w:pPr>
        <w:spacing w:after="0"/>
        <w:ind w:left="0"/>
        <w:jc w:val="both"/>
      </w:pPr>
      <w:r>
        <w:rPr>
          <w:rFonts w:ascii="Times New Roman"/>
          <w:b w:val="false"/>
          <w:i w:val="false"/>
          <w:color w:val="000000"/>
          <w:sz w:val="28"/>
        </w:rPr>
        <w:t>
      размер отверстий в сетке для протирания влажной массы.</w:t>
      </w:r>
    </w:p>
    <w:bookmarkEnd w:id="141"/>
    <w:bookmarkStart w:name="z150" w:id="142"/>
    <w:p>
      <w:pPr>
        <w:spacing w:after="0"/>
        <w:ind w:left="0"/>
        <w:jc w:val="both"/>
      </w:pPr>
      <w:r>
        <w:rPr>
          <w:rFonts w:ascii="Times New Roman"/>
          <w:b w:val="false"/>
          <w:i w:val="false"/>
          <w:color w:val="000000"/>
          <w:sz w:val="28"/>
        </w:rPr>
        <w:t>
      Данный перечень ранней разработки не требуется представлять в регистрационном досье лекарственного препарата, если только для процесса производства не заявлена формализованная оценка рисков, вместе с тем во время разработки учитывается множество других параметров, чем представляемые в следующем перечне, который включается в описание процесса производства.</w:t>
      </w:r>
    </w:p>
    <w:bookmarkEnd w:id="142"/>
    <w:bookmarkStart w:name="z151" w:id="143"/>
    <w:p>
      <w:pPr>
        <w:spacing w:after="0"/>
        <w:ind w:left="0"/>
        <w:jc w:val="both"/>
      </w:pPr>
      <w:r>
        <w:rPr>
          <w:rFonts w:ascii="Times New Roman"/>
          <w:b w:val="false"/>
          <w:i w:val="false"/>
          <w:color w:val="000000"/>
          <w:sz w:val="28"/>
        </w:rPr>
        <w:t>
      Перечень параметров, в отношении которых во время разработки была определена необходимость осуществления контроля или наблюдения во время единичной операции (перечень заключительной разработки):</w:t>
      </w:r>
    </w:p>
    <w:bookmarkEnd w:id="143"/>
    <w:bookmarkStart w:name="z152" w:id="144"/>
    <w:p>
      <w:pPr>
        <w:spacing w:after="0"/>
        <w:ind w:left="0"/>
        <w:jc w:val="both"/>
      </w:pPr>
      <w:r>
        <w:rPr>
          <w:rFonts w:ascii="Times New Roman"/>
          <w:b w:val="false"/>
          <w:i w:val="false"/>
          <w:color w:val="000000"/>
          <w:sz w:val="28"/>
        </w:rPr>
        <w:t>
      объем наполнения;</w:t>
      </w:r>
    </w:p>
    <w:bookmarkEnd w:id="144"/>
    <w:bookmarkStart w:name="z153" w:id="145"/>
    <w:p>
      <w:pPr>
        <w:spacing w:after="0"/>
        <w:ind w:left="0"/>
        <w:jc w:val="both"/>
      </w:pPr>
      <w:r>
        <w:rPr>
          <w:rFonts w:ascii="Times New Roman"/>
          <w:b w:val="false"/>
          <w:i w:val="false"/>
          <w:color w:val="000000"/>
          <w:sz w:val="28"/>
        </w:rPr>
        <w:t>
      время приготовления предварительной смеси;</w:t>
      </w:r>
    </w:p>
    <w:bookmarkEnd w:id="145"/>
    <w:bookmarkStart w:name="z154" w:id="146"/>
    <w:p>
      <w:pPr>
        <w:spacing w:after="0"/>
        <w:ind w:left="0"/>
        <w:jc w:val="both"/>
      </w:pPr>
      <w:r>
        <w:rPr>
          <w:rFonts w:ascii="Times New Roman"/>
          <w:b w:val="false"/>
          <w:i w:val="false"/>
          <w:color w:val="000000"/>
          <w:sz w:val="28"/>
        </w:rPr>
        <w:t>
      скорость потока гранулирующего раствора;</w:t>
      </w:r>
    </w:p>
    <w:bookmarkEnd w:id="146"/>
    <w:bookmarkStart w:name="z155" w:id="147"/>
    <w:p>
      <w:pPr>
        <w:spacing w:after="0"/>
        <w:ind w:left="0"/>
        <w:jc w:val="both"/>
      </w:pPr>
      <w:r>
        <w:rPr>
          <w:rFonts w:ascii="Times New Roman"/>
          <w:b w:val="false"/>
          <w:i w:val="false"/>
          <w:color w:val="000000"/>
          <w:sz w:val="28"/>
        </w:rPr>
        <w:t>
      количество гранулирующего раствора;</w:t>
      </w:r>
    </w:p>
    <w:bookmarkEnd w:id="147"/>
    <w:bookmarkStart w:name="z156" w:id="148"/>
    <w:p>
      <w:pPr>
        <w:spacing w:after="0"/>
        <w:ind w:left="0"/>
        <w:jc w:val="both"/>
      </w:pPr>
      <w:r>
        <w:rPr>
          <w:rFonts w:ascii="Times New Roman"/>
          <w:b w:val="false"/>
          <w:i w:val="false"/>
          <w:color w:val="000000"/>
          <w:sz w:val="28"/>
        </w:rPr>
        <w:t>
      скорость вращения мешалки в разные фазы;</w:t>
      </w:r>
    </w:p>
    <w:bookmarkEnd w:id="148"/>
    <w:bookmarkStart w:name="z157" w:id="149"/>
    <w:p>
      <w:pPr>
        <w:spacing w:after="0"/>
        <w:ind w:left="0"/>
        <w:jc w:val="both"/>
      </w:pPr>
      <w:r>
        <w:rPr>
          <w:rFonts w:ascii="Times New Roman"/>
          <w:b w:val="false"/>
          <w:i w:val="false"/>
          <w:color w:val="000000"/>
          <w:sz w:val="28"/>
        </w:rPr>
        <w:t>
      скорость вращения измельчителя в разные фазы;</w:t>
      </w:r>
    </w:p>
    <w:bookmarkEnd w:id="149"/>
    <w:bookmarkStart w:name="z158" w:id="150"/>
    <w:p>
      <w:pPr>
        <w:spacing w:after="0"/>
        <w:ind w:left="0"/>
        <w:jc w:val="both"/>
      </w:pPr>
      <w:r>
        <w:rPr>
          <w:rFonts w:ascii="Times New Roman"/>
          <w:b w:val="false"/>
          <w:i w:val="false"/>
          <w:color w:val="000000"/>
          <w:sz w:val="28"/>
        </w:rPr>
        <w:t>
      время формирования влажной массы;</w:t>
      </w:r>
    </w:p>
    <w:bookmarkEnd w:id="150"/>
    <w:bookmarkStart w:name="z159" w:id="151"/>
    <w:p>
      <w:pPr>
        <w:spacing w:after="0"/>
        <w:ind w:left="0"/>
        <w:jc w:val="both"/>
      </w:pPr>
      <w:r>
        <w:rPr>
          <w:rFonts w:ascii="Times New Roman"/>
          <w:b w:val="false"/>
          <w:i w:val="false"/>
          <w:color w:val="000000"/>
          <w:sz w:val="28"/>
        </w:rPr>
        <w:t>
      размер отверстий в сетке для протирания влажной массы.</w:t>
      </w:r>
    </w:p>
    <w:bookmarkEnd w:id="151"/>
    <w:bookmarkStart w:name="z160" w:id="152"/>
    <w:p>
      <w:pPr>
        <w:spacing w:after="0"/>
        <w:ind w:left="0"/>
        <w:jc w:val="left"/>
      </w:pPr>
      <w:r>
        <w:rPr>
          <w:rFonts w:ascii="Times New Roman"/>
          <w:b/>
          <w:i w:val="false"/>
          <w:color w:val="000000"/>
        </w:rPr>
        <w:t xml:space="preserve"> 2. Описание (общее для минимального (традиционного) и углубленного подходов к разработке) процесса производства</w:t>
      </w:r>
    </w:p>
    <w:bookmarkEnd w:id="152"/>
    <w:bookmarkStart w:name="z161" w:id="153"/>
    <w:p>
      <w:pPr>
        <w:spacing w:after="0"/>
        <w:ind w:left="0"/>
        <w:jc w:val="both"/>
      </w:pPr>
      <w:r>
        <w:rPr>
          <w:rFonts w:ascii="Times New Roman"/>
          <w:b w:val="false"/>
          <w:i w:val="false"/>
          <w:color w:val="000000"/>
          <w:sz w:val="28"/>
        </w:rPr>
        <w:t>
      Взвесить и просеять требуемое количество действующего вещества и внутризеренных вспомогательных веществ.</w:t>
      </w:r>
    </w:p>
    <w:bookmarkEnd w:id="153"/>
    <w:bookmarkStart w:name="z162" w:id="154"/>
    <w:p>
      <w:pPr>
        <w:spacing w:after="0"/>
        <w:ind w:left="0"/>
        <w:jc w:val="both"/>
      </w:pPr>
      <w:r>
        <w:rPr>
          <w:rFonts w:ascii="Times New Roman"/>
          <w:b w:val="false"/>
          <w:i w:val="false"/>
          <w:color w:val="000000"/>
          <w:sz w:val="28"/>
        </w:rPr>
        <w:t>
      Взвесить требуемое количество связующего вспомогательного вещества и очищенной воды, залить очищенную воду в смеситель и растворить связующее вспомогательное вещество, перемешивать до образования прозрачного раствора.</w:t>
      </w:r>
    </w:p>
    <w:bookmarkEnd w:id="154"/>
    <w:bookmarkStart w:name="z163" w:id="155"/>
    <w:p>
      <w:pPr>
        <w:spacing w:after="0"/>
        <w:ind w:left="0"/>
        <w:jc w:val="both"/>
      </w:pPr>
      <w:r>
        <w:rPr>
          <w:rFonts w:ascii="Times New Roman"/>
          <w:b w:val="false"/>
          <w:i w:val="false"/>
          <w:color w:val="000000"/>
          <w:sz w:val="28"/>
        </w:rPr>
        <w:t>
      Загрузить лекарственное вещество, внутризеренное вспомогательное вещество 1, внутризеренное вспомогательное вещество 2 и внутризеренное вспомогательное вещество 3 в барабан смесителя-гранулятора с большим сдвиговым усилием.</w:t>
      </w:r>
    </w:p>
    <w:bookmarkEnd w:id="155"/>
    <w:bookmarkStart w:name="z164" w:id="156"/>
    <w:p>
      <w:pPr>
        <w:spacing w:after="0"/>
        <w:ind w:left="0"/>
        <w:jc w:val="both"/>
      </w:pPr>
      <w:r>
        <w:rPr>
          <w:rFonts w:ascii="Times New Roman"/>
          <w:b w:val="false"/>
          <w:i w:val="false"/>
          <w:color w:val="000000"/>
          <w:sz w:val="28"/>
        </w:rPr>
        <w:t>
      Перемешивать сухой материал.</w:t>
      </w:r>
    </w:p>
    <w:bookmarkEnd w:id="156"/>
    <w:bookmarkStart w:name="z165" w:id="157"/>
    <w:p>
      <w:pPr>
        <w:spacing w:after="0"/>
        <w:ind w:left="0"/>
        <w:jc w:val="both"/>
      </w:pPr>
      <w:r>
        <w:rPr>
          <w:rFonts w:ascii="Times New Roman"/>
          <w:b w:val="false"/>
          <w:i w:val="false"/>
          <w:color w:val="000000"/>
          <w:sz w:val="28"/>
        </w:rPr>
        <w:t>
      Увлажнить сухую смесь (из стадии 4) гранулирующим раствором (из стадии 2) путем мелкого распыления через двойную форсунку.</w:t>
      </w:r>
    </w:p>
    <w:bookmarkEnd w:id="157"/>
    <w:bookmarkStart w:name="z166" w:id="158"/>
    <w:p>
      <w:pPr>
        <w:spacing w:after="0"/>
        <w:ind w:left="0"/>
        <w:jc w:val="both"/>
      </w:pPr>
      <w:r>
        <w:rPr>
          <w:rFonts w:ascii="Times New Roman"/>
          <w:b w:val="false"/>
          <w:i w:val="false"/>
          <w:color w:val="000000"/>
          <w:sz w:val="28"/>
        </w:rPr>
        <w:t xml:space="preserve">
      Перемешивать влажную массу при помощи мешалки в течение 5 минут (требуемая скорость мешалки – 170 об/мин, скорость измельчителя – 2 000 об/мин). </w:t>
      </w:r>
    </w:p>
    <w:bookmarkEnd w:id="158"/>
    <w:bookmarkStart w:name="z167" w:id="159"/>
    <w:p>
      <w:pPr>
        <w:spacing w:after="0"/>
        <w:ind w:left="0"/>
        <w:jc w:val="both"/>
      </w:pPr>
      <w:r>
        <w:rPr>
          <w:rFonts w:ascii="Times New Roman"/>
          <w:b w:val="false"/>
          <w:i w:val="false"/>
          <w:color w:val="000000"/>
          <w:sz w:val="28"/>
        </w:rPr>
        <w:t>
      Протереть влажную массу через измельчающую сетку, находящуюся в линии, и поместить ее в сушилку с псевдосжиженным слоем.</w:t>
      </w:r>
    </w:p>
    <w:bookmarkEnd w:id="159"/>
    <w:bookmarkStart w:name="z168" w:id="160"/>
    <w:p>
      <w:pPr>
        <w:spacing w:after="0"/>
        <w:ind w:left="0"/>
        <w:jc w:val="left"/>
      </w:pPr>
      <w:r>
        <w:rPr>
          <w:rFonts w:ascii="Times New Roman"/>
          <w:b/>
          <w:i w:val="false"/>
          <w:color w:val="000000"/>
        </w:rPr>
        <w:t xml:space="preserve"> 3. Характеристика технологических параметров (при минимальном подходе к фармацевтической разработке)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47"/>
        <w:gridCol w:w="7054"/>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технологической стадии</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или диапазон</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Загрузка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наполнения</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об.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Предварительное смешивание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(1 – 3 мин)</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Добавление гранулирующего раствора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скорость потока</w:t>
            </w:r>
            <w:r>
              <w:br/>
            </w:r>
            <w:r>
              <w:rPr>
                <w:rFonts w:ascii="Times New Roman"/>
                <w:b w:val="false"/>
                <w:i w:val="false"/>
                <w:color w:val="000000"/>
                <w:sz w:val="20"/>
              </w:rPr>
              <w:t>
количество гранулирующего раствора</w:t>
            </w:r>
            <w:r>
              <w:rPr>
                <w:rFonts w:ascii="Times New Roman"/>
                <w:b w:val="false"/>
                <w:i w:val="false"/>
                <w:color w:val="000000"/>
                <w:vertAlign w:val="superscript"/>
              </w:rPr>
              <w:t>*</w:t>
            </w:r>
          </w:p>
          <w:bookmarkEnd w:id="161"/>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9 кг/мин</w:t>
            </w:r>
            <w:r>
              <w:br/>
            </w:r>
            <w:r>
              <w:rPr>
                <w:rFonts w:ascii="Times New Roman"/>
                <w:b w:val="false"/>
                <w:i w:val="false"/>
                <w:color w:val="000000"/>
                <w:sz w:val="20"/>
              </w:rPr>
              <w:t>
15 % по массовой доле</w:t>
            </w:r>
          </w:p>
          <w:bookmarkEnd w:id="162"/>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мешалки</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об/мин</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измельчителя</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 (2 – 4 мин)</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Формирование влажной массы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скорость мешалки</w:t>
            </w:r>
            <w:r>
              <w:br/>
            </w:r>
            <w:r>
              <w:rPr>
                <w:rFonts w:ascii="Times New Roman"/>
                <w:b w:val="false"/>
                <w:i w:val="false"/>
                <w:color w:val="000000"/>
                <w:sz w:val="20"/>
              </w:rPr>
              <w:t>
скорость измельчителя</w:t>
            </w:r>
          </w:p>
          <w:bookmarkEnd w:id="163"/>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170 об/мин</w:t>
            </w:r>
            <w:r>
              <w:br/>
            </w:r>
            <w:r>
              <w:rPr>
                <w:rFonts w:ascii="Times New Roman"/>
                <w:b w:val="false"/>
                <w:i w:val="false"/>
                <w:color w:val="000000"/>
                <w:sz w:val="20"/>
              </w:rPr>
              <w:t>
2 000 об/мин</w:t>
            </w:r>
          </w:p>
          <w:bookmarkEnd w:id="164"/>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мин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Протирание влажной массы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отверстий в сетке</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мм</w:t>
            </w:r>
          </w:p>
        </w:tc>
      </w:tr>
    </w:tbl>
    <w:bookmarkStart w:name="z173" w:id="165"/>
    <w:p>
      <w:pPr>
        <w:spacing w:after="0"/>
        <w:ind w:left="0"/>
        <w:jc w:val="both"/>
      </w:pPr>
      <w:r>
        <w:rPr>
          <w:rFonts w:ascii="Times New Roman"/>
          <w:b w:val="false"/>
          <w:i w:val="false"/>
          <w:color w:val="000000"/>
          <w:sz w:val="28"/>
        </w:rPr>
        <w:t>
      *Количество используемой воды рассчитывается в качестве доли от общей массы сухих компонентов внутренней фазы (внутризеренных компонентов). Вода удаляется во время обработки.</w:t>
      </w:r>
    </w:p>
    <w:bookmarkEnd w:id="165"/>
    <w:bookmarkStart w:name="z174" w:id="166"/>
    <w:p>
      <w:pPr>
        <w:spacing w:after="0"/>
        <w:ind w:left="0"/>
        <w:jc w:val="left"/>
      </w:pPr>
      <w:r>
        <w:rPr>
          <w:rFonts w:ascii="Times New Roman"/>
          <w:b/>
          <w:i w:val="false"/>
          <w:color w:val="000000"/>
        </w:rPr>
        <w:t xml:space="preserve"> 4. Характеристика технологических параметров (при углубленном подходе к фармацевтической разработке)</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1941"/>
        <w:gridCol w:w="1010"/>
        <w:gridCol w:w="7219"/>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технологической стадии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Критичность</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или диапазон</w:t>
            </w:r>
            <w:r>
              <w:rPr>
                <w:rFonts w:ascii="Times New Roman"/>
                <w:b w:val="false"/>
                <w:i w:val="false"/>
                <w:color w:val="000000"/>
                <w:vertAlign w:val="superscript"/>
              </w:rPr>
              <w:t>*</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Загрузка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наполнения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некритично</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 об.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Предварительное смешивание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некритично</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мин</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Добавление гранулирующего раствора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скорость потока</w:t>
            </w:r>
            <w:r>
              <w:br/>
            </w:r>
            <w:r>
              <w:rPr>
                <w:rFonts w:ascii="Times New Roman"/>
                <w:b w:val="false"/>
                <w:i w:val="false"/>
                <w:color w:val="000000"/>
                <w:sz w:val="20"/>
              </w:rPr>
              <w:t>
количество гранулирующего раствора</w:t>
            </w:r>
            <w:r>
              <w:rPr>
                <w:rFonts w:ascii="Times New Roman"/>
                <w:b w:val="false"/>
                <w:i w:val="false"/>
                <w:color w:val="000000"/>
                <w:vertAlign w:val="superscript"/>
              </w:rPr>
              <w:t>**</w:t>
            </w:r>
          </w:p>
          <w:bookmarkEnd w:id="16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некритично</w:t>
            </w:r>
            <w:r>
              <w:br/>
            </w:r>
            <w:r>
              <w:rPr>
                <w:rFonts w:ascii="Times New Roman"/>
                <w:b w:val="false"/>
                <w:i w:val="false"/>
                <w:color w:val="000000"/>
                <w:sz w:val="20"/>
              </w:rPr>
              <w:t>
критично</w:t>
            </w:r>
          </w:p>
          <w:bookmarkEnd w:id="168"/>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9"/>
          <w:p>
            <w:pPr>
              <w:spacing w:after="20"/>
              <w:ind w:left="20"/>
              <w:jc w:val="both"/>
            </w:pPr>
            <w:r>
              <w:rPr>
                <w:rFonts w:ascii="Times New Roman"/>
                <w:b w:val="false"/>
                <w:i w:val="false"/>
                <w:color w:val="000000"/>
                <w:sz w:val="20"/>
              </w:rPr>
              <w:t>
5 – 15 кг/мин</w:t>
            </w:r>
            <w:r>
              <w:br/>
            </w:r>
            <w:r>
              <w:rPr>
                <w:rFonts w:ascii="Times New Roman"/>
                <w:b w:val="false"/>
                <w:i w:val="false"/>
                <w:color w:val="000000"/>
                <w:sz w:val="20"/>
              </w:rPr>
              <w:t>
12 – 18 % по массовой доле</w:t>
            </w:r>
          </w:p>
          <w:bookmarkEnd w:id="169"/>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мешалки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некритично</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110 об/мин</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измельчителя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критичности отсутствуют</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некритично</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 мин</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Формирование влажной массы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мешалки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критично</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190 об/мин</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измельчителя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критично</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 2 500 об/мин</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критично</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 мин</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Протирание влажной массы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отверстий в сетке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некритично</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 – 1,41 мм</w:t>
            </w:r>
          </w:p>
        </w:tc>
      </w:tr>
    </w:tbl>
    <w:bookmarkStart w:name="z178" w:id="170"/>
    <w:p>
      <w:pPr>
        <w:spacing w:after="0"/>
        <w:ind w:left="0"/>
        <w:jc w:val="both"/>
      </w:pPr>
      <w:r>
        <w:rPr>
          <w:rFonts w:ascii="Times New Roman"/>
          <w:b w:val="false"/>
          <w:i w:val="false"/>
          <w:color w:val="000000"/>
          <w:sz w:val="28"/>
        </w:rPr>
        <w:t>
      *Диапазоны установлены на основании многовариантной оценки.</w:t>
      </w:r>
    </w:p>
    <w:bookmarkEnd w:id="170"/>
    <w:bookmarkStart w:name="z179" w:id="171"/>
    <w:p>
      <w:pPr>
        <w:spacing w:after="0"/>
        <w:ind w:left="0"/>
        <w:jc w:val="both"/>
      </w:pPr>
      <w:r>
        <w:rPr>
          <w:rFonts w:ascii="Times New Roman"/>
          <w:b w:val="false"/>
          <w:i w:val="false"/>
          <w:color w:val="000000"/>
          <w:sz w:val="28"/>
        </w:rPr>
        <w:t>
      **Количество используемой воды рассчитывается в качестве доли от общей массы сухих компонентов внутренней фазы (внутризеренных компонентов). Абсолютный объем используемой воды может варьироваться в пределах 12 – 18 процентов по массовой доле, что подразумевает вариабельную концентрацию связующего вещества в гранулирующем растворе в пределах этого диапазона. Вода удаляется во время обработки.</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