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f30b" w14:textId="d72f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продвижению ювелирной продукции государств – членов Евразийского экономического союза на рынки третьих стран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25 октября 2019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план мероприятий по продвижению ювелирной продукции государств – членов Евразийского экономического союза на рынки третьих стран.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Евразийской экономической комиссии совместно с правительствами государств – членов Евразийского экономического союза обеспечить реализацию мероприятий, предусмотренных планом, утвержденным настоящим распоряжением.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октября 2019 г. № 17 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  </w:t>
      </w:r>
      <w:r>
        <w:br/>
      </w:r>
      <w:r>
        <w:rPr>
          <w:rFonts w:ascii="Times New Roman"/>
          <w:b/>
          <w:i w:val="false"/>
          <w:color w:val="000000"/>
        </w:rPr>
        <w:t xml:space="preserve"> мероприятий по продвижению ювелирной продукции государств – членов Евразийского экономического союза на рынки третьих стран 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9"/>
        <w:gridCol w:w="2080"/>
        <w:gridCol w:w="2977"/>
        <w:gridCol w:w="794"/>
      </w:tblGrid>
      <w:tr>
        <w:trPr>
          <w:trHeight w:val="30" w:hRule="atLeast"/>
        </w:trPr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Повышение конкурентоспособности производителей ювелирной продукции  государств – членов Евразийского экономического союза 
</w:t>
            </w:r>
          </w:p>
        </w:tc>
      </w:tr>
      <w:tr>
        <w:trPr>
          <w:trHeight w:val="30" w:hRule="atLeast"/>
        </w:trPr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Разработка проекта концепции создания Евразийского ювелирного экспортного бюро для принятия решения о целесообразности его формирования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члены Евразийского экономического союза (далее соответственно – государства-члены, Союз), Евразийская экономическая комиссия (далее – Комиссия)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концепции, доклад на заседании органа Союза </w:t>
            </w:r>
          </w:p>
        </w:tc>
      </w:tr>
      <w:tr>
        <w:trPr>
          <w:trHeight w:val="30" w:hRule="atLeast"/>
        </w:trPr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Проведение консультаций с крупнейшими производителями драгоценных металлов и драгоценных камней по вопросам организации поставок сырья и заключения долгосрочных контрактов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необходимости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протокольное решение</w:t>
            </w:r>
          </w:p>
        </w:tc>
      </w:tr>
      <w:tr>
        <w:trPr>
          <w:trHeight w:val="30" w:hRule="atLeast"/>
        </w:trPr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Подготовка и представление для рассмотрения Комиссией предложений о внесении изменений в единую Товарную номенклатуру внешнеэкономической деятельности Евразийского экономического союза (в части выделения подсубпозиции в отношении бриллиантов массой до 0,3 карата) и Единый таможенный тариф Евразийского экономического союза в отношении драгоценных камней и полудрагоценных камней (включая бриллианты массой до 0,3 карата)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2020 г.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государств-членов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государств-членов</w:t>
            </w:r>
          </w:p>
        </w:tc>
      </w:tr>
      <w:tr>
        <w:trPr>
          <w:trHeight w:val="30" w:hRule="atLeast"/>
        </w:trPr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Подготовка и представление для рассмотрения Комиссией предложений о внесении изменений в Единый таможенный тариф Евразийского экономического союза в отношении аффинированного золота и серебра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государств-членов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государств-членов</w:t>
            </w:r>
          </w:p>
        </w:tc>
      </w:tr>
      <w:tr>
        <w:trPr>
          <w:trHeight w:val="30" w:hRule="atLeast"/>
        </w:trPr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Подготовка и представление для рассмотрения Комиссией предложений о целесообразности продления срока действия ставок ввозных таможенных пошлин в отношении лома и отходов драгоценных металлов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государств-членов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государств-членов</w:t>
            </w:r>
          </w:p>
        </w:tc>
      </w:tr>
      <w:tr>
        <w:trPr>
          <w:trHeight w:val="30" w:hRule="atLeast"/>
        </w:trPr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Реализация первоочередных мер поддержки экспорта ювелирной продукции государств-членов 
</w:t>
            </w:r>
          </w:p>
        </w:tc>
      </w:tr>
      <w:tr>
        <w:trPr>
          <w:trHeight w:val="30" w:hRule="atLeast"/>
        </w:trPr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Мониторинг ювелирного рынка Союза и рынка ювелирных изделий третьих стран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о разработке актов Комиссии</w:t>
            </w:r>
          </w:p>
        </w:tc>
      </w:tr>
      <w:tr>
        <w:trPr>
          <w:trHeight w:val="30" w:hRule="atLeast"/>
        </w:trPr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Подготовка предложений о возможности реализации ювелирных и других изделий из драгоценных металлов и драгоценных камней с использованием совместной торговой инфраструктуры государств-членов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органа Союза</w:t>
            </w:r>
          </w:p>
        </w:tc>
      </w:tr>
      <w:tr>
        <w:trPr>
          <w:trHeight w:val="30" w:hRule="atLeast"/>
        </w:trPr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конференциях и выставках (в том числе в зарубежных выставочных мероприятиях)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2021 годы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конференциях и выставках</w:t>
            </w:r>
          </w:p>
        </w:tc>
      </w:tr>
      <w:tr>
        <w:trPr>
          <w:trHeight w:val="30" w:hRule="atLeast"/>
        </w:trPr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Проработка вопроса о создании дополнительных механизмов стимулирования действующих и вновь создаваемых брендов производителей ювелирной продукции государств-членов (в том числе зонтичного ювелирного бренда Союза)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 Комиссии,рекомендация Совета Комиссии</w:t>
            </w:r>
          </w:p>
        </w:tc>
      </w:tr>
      <w:tr>
        <w:trPr>
          <w:trHeight w:val="30" w:hRule="atLeast"/>
        </w:trPr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Формирование дополнительных механизмов продвижения ювелирной продукции  государств-членов на рынки третьих стран  
</w:t>
            </w:r>
          </w:p>
        </w:tc>
      </w:tr>
      <w:tr>
        <w:trPr>
          <w:trHeight w:val="30" w:hRule="atLeast"/>
        </w:trPr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Анализ опыта создания Евразийского алмазного центра на территории свободного порта Владивосток в Российской Федерации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 Комиссии</w:t>
            </w:r>
          </w:p>
        </w:tc>
      </w:tr>
      <w:tr>
        <w:trPr>
          <w:trHeight w:val="30" w:hRule="atLeast"/>
        </w:trPr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Проработка вопроса об упрощении порядка прохождения процедуры государственного контроля (надзора) в сфере производства и обращения ювелирных и других изделий из драгоценных металлов и драгоценных камней при оформлении международных почтовых отправлений в адрес физических лиц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государств-членов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государств-членов</w:t>
            </w:r>
          </w:p>
        </w:tc>
      </w:tr>
      <w:tr>
        <w:trPr>
          <w:trHeight w:val="30" w:hRule="atLeast"/>
        </w:trPr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Проработка вопроса об установлении возможности розничной реализации ювелирных изделий на зарубежных выставках без заключения контракта на поставку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государств-членов</w:t>
            </w:r>
          </w:p>
        </w:tc>
      </w:tr>
      <w:tr>
        <w:trPr>
          <w:trHeight w:val="30" w:hRule="atLeast"/>
        </w:trPr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Определение порядка формирования сравнительного рейтинга экспортных процедур, осуществляемых в государствах-членах в отношении ювелирной продукции, драгоценных металлов и драгоценных камней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 2021 г.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</w:tr>
      <w:tr>
        <w:trPr>
          <w:trHeight w:val="30" w:hRule="atLeast"/>
        </w:trPr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Определение перечня выставочно-ярмарочных мероприятий и бизнес-миссий производителей ювелирной продукции государств-членов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Коллегии Комиссии</w:t>
            </w:r>
          </w:p>
        </w:tc>
      </w:tr>
      <w:tr>
        <w:trPr>
          <w:trHeight w:val="30" w:hRule="atLeast"/>
        </w:trPr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Проработка вопроса об упрощении процедуры оформления разрешений на переработку сырья, лома и отходов, содержащих драгоценные металлы, на таможенной территории Союза и идентификации изготовленной продукции в рамках процедуры переработки на таможенной территории Союза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на заседании Совета Комиссии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