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d4a7" w14:textId="a1ad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маркировки шин и покрышек пневматических резиновых новых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18 ноября 2019 года № 129.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о маркировке товаров средствами идентификации в Евразийском экономическом союзе от 2 февраля 2018 г. (далее – Соглашение)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шин и покрышек пневматических резиновых новых (далее – товары) на своей территории в соответствии с настоящим Решением и уведомляют Евразийскую экономическую комиссию о такой дате не позднее чем за 6 месяцев до ее наступления. При этом запрет на оборот немаркированных товаров не может быть введен ранее 1 декабря 2020 г.</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 утвержденный настоящим Решением (далее – перечень);</w:t>
      </w:r>
    </w:p>
    <w:bookmarkEnd w:id="3"/>
    <w:bookmarkStart w:name="z8" w:id="4"/>
    <w:p>
      <w:pPr>
        <w:spacing w:after="0"/>
        <w:ind w:left="0"/>
        <w:jc w:val="both"/>
      </w:pPr>
      <w:r>
        <w:rPr>
          <w:rFonts w:ascii="Times New Roman"/>
          <w:b w:val="false"/>
          <w:i w:val="false"/>
          <w:color w:val="000000"/>
          <w:sz w:val="28"/>
        </w:rPr>
        <w:t>
      маркировка товаров осуществляется средствами идентификации, соответствующим характеристикам, установленным настоящим Решением;</w:t>
      </w:r>
    </w:p>
    <w:bookmarkEnd w:id="4"/>
    <w:bookmarkStart w:name="z9" w:id="5"/>
    <w:p>
      <w:pPr>
        <w:spacing w:after="0"/>
        <w:ind w:left="0"/>
        <w:jc w:val="both"/>
      </w:pPr>
      <w:r>
        <w:rPr>
          <w:rFonts w:ascii="Times New Roman"/>
          <w:b w:val="false"/>
          <w:i w:val="false"/>
          <w:color w:val="000000"/>
          <w:sz w:val="28"/>
        </w:rPr>
        <w:t>
      маркировка остатков товаров, включенных в перечень, утвержденный настоящим Решением, осуществляется в порядке и сроки, установленные законодательством государства-члена;</w:t>
      </w:r>
    </w:p>
    <w:bookmarkEnd w:id="5"/>
    <w:bookmarkStart w:name="z10" w:id="6"/>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6"/>
    <w:bookmarkStart w:name="z11" w:id="7"/>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внесенными решениями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3. Утвердить прилагаемые: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Start w:name="z23" w:id="10"/>
    <w:p>
      <w:pPr>
        <w:spacing w:after="0"/>
        <w:ind w:left="0"/>
        <w:jc w:val="both"/>
      </w:pPr>
      <w:r>
        <w:rPr>
          <w:rFonts w:ascii="Times New Roman"/>
          <w:b w:val="false"/>
          <w:i w:val="false"/>
          <w:color w:val="000000"/>
          <w:sz w:val="28"/>
        </w:rPr>
        <w:t>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Силуанов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ноября 2019 г. № 129</w:t>
            </w:r>
          </w:p>
        </w:tc>
      </w:tr>
    </w:tbl>
    <w:bookmarkStart w:name="z26" w:id="12"/>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2"/>
    <w:p>
      <w:pPr>
        <w:spacing w:after="0"/>
        <w:ind w:left="0"/>
        <w:jc w:val="both"/>
      </w:pPr>
      <w:r>
        <w:rPr>
          <w:rFonts w:ascii="Times New Roman"/>
          <w:b w:val="false"/>
          <w:i w:val="false"/>
          <w:color w:val="ff0000"/>
          <w:sz w:val="28"/>
        </w:rPr>
        <w:t xml:space="preserve">
      Сноска. Перечень с изменениями, внесенными решениями Совета Евразийской экономической комиссии от 02.12.2021 </w:t>
      </w:r>
      <w:r>
        <w:rPr>
          <w:rFonts w:ascii="Times New Roman"/>
          <w:b w:val="false"/>
          <w:i w:val="false"/>
          <w:color w:val="ff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легковых автомобилей (включая грузопассажирские автомобили-фургоны и спортивные автомобили) с посадочным диаметром не более 16 дюймов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легковых автомобилей (включая грузопассажирские автомобили-фургоны и спортивные автомобили)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автобусов или моторных транспортных средств для перевозки грузов с индексом нагрузки не более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автобусов или моторных транспортных средств для перевозки грузов с индексом нагрузки более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сельскохозяйственных или лесохозяйственных транспортных средств и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транспортных средств и машин, используемых в строительстве, горном деле или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прочие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ноября 2019 г. № 129</w:t>
            </w:r>
          </w:p>
        </w:tc>
      </w:tr>
    </w:tbl>
    <w:bookmarkStart w:name="z28" w:id="13"/>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13"/>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29" w:id="14"/>
    <w:p>
      <w:pPr>
        <w:spacing w:after="0"/>
        <w:ind w:left="0"/>
        <w:jc w:val="both"/>
      </w:pPr>
      <w:r>
        <w:rPr>
          <w:rFonts w:ascii="Times New Roman"/>
          <w:b w:val="false"/>
          <w:i w:val="false"/>
          <w:color w:val="000000"/>
          <w:sz w:val="28"/>
        </w:rPr>
        <w:t xml:space="preserve">
      1. Настоящий документ разработан в соответствии с подпунктом "а" </w:t>
      </w:r>
      <w:r>
        <w:rPr>
          <w:rFonts w:ascii="Times New Roman"/>
          <w:b w:val="false"/>
          <w:i w:val="false"/>
          <w:color w:val="000000"/>
          <w:sz w:val="28"/>
        </w:rPr>
        <w:t>пункта 1</w:t>
      </w:r>
      <w:r>
        <w:rPr>
          <w:rFonts w:ascii="Times New Roman"/>
          <w:b w:val="false"/>
          <w:i w:val="false"/>
          <w:color w:val="000000"/>
          <w:sz w:val="28"/>
        </w:rPr>
        <w:t xml:space="preserve"> статьи 5 Соглашения о маркировке товаров средствами идентификации в Евразийском экономическом союзе от 2 февраля 2018 года.</w:t>
      </w:r>
    </w:p>
    <w:bookmarkEnd w:id="14"/>
    <w:bookmarkStart w:name="z30" w:id="15"/>
    <w:p>
      <w:pPr>
        <w:spacing w:after="0"/>
        <w:ind w:left="0"/>
        <w:jc w:val="both"/>
      </w:pPr>
      <w:r>
        <w:rPr>
          <w:rFonts w:ascii="Times New Roman"/>
          <w:b w:val="false"/>
          <w:i w:val="false"/>
          <w:color w:val="000000"/>
          <w:sz w:val="28"/>
        </w:rPr>
        <w:t>
      2. Для маркировки шин и покрышек пневматических резиновых новых, классифицируемых в позициях 4011 10 000 3, 4011 10 000 9, 4011 20 100 0, 4011 20 900 0, 4011 40 000 0, 4011 70 000 0, 4011 80 000 0, 4011 90 000 0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При необходимости дополнительно для маркировки может быть использована RFID-метка UHF-диапазона. Средство идентификации и RFID-метка UHF-диапазона включают в себя следующие данные:</w:t>
      </w:r>
    </w:p>
    <w:bookmarkEnd w:id="15"/>
    <w:bookmarkStart w:name="z31" w:id="16"/>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16"/>
    <w:bookmarkStart w:name="z32" w:id="17"/>
    <w:p>
      <w:pPr>
        <w:spacing w:after="0"/>
        <w:ind w:left="0"/>
        <w:jc w:val="both"/>
      </w:pPr>
      <w:r>
        <w:rPr>
          <w:rFonts w:ascii="Times New Roman"/>
          <w:b w:val="false"/>
          <w:i w:val="false"/>
          <w:color w:val="000000"/>
          <w:sz w:val="28"/>
        </w:rPr>
        <w:t>
      вторая группа данных (идентификатор применения (21))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17"/>
    <w:bookmarkStart w:name="z33" w:id="18"/>
    <w:p>
      <w:pPr>
        <w:spacing w:after="0"/>
        <w:ind w:left="0"/>
        <w:jc w:val="both"/>
      </w:pPr>
      <w:r>
        <w:rPr>
          <w:rFonts w:ascii="Times New Roman"/>
          <w:b w:val="false"/>
          <w:i w:val="false"/>
          <w:color w:val="000000"/>
          <w:sz w:val="28"/>
        </w:rPr>
        <w:t>
      третья группа данных (идентификатор применения (91)) – имеет длину до 4-х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w:t>
      </w:r>
    </w:p>
    <w:bookmarkEnd w:id="18"/>
    <w:bookmarkStart w:name="z34" w:id="19"/>
    <w:p>
      <w:pPr>
        <w:spacing w:after="0"/>
        <w:ind w:left="0"/>
        <w:jc w:val="both"/>
      </w:pPr>
      <w:r>
        <w:rPr>
          <w:rFonts w:ascii="Times New Roman"/>
          <w:b w:val="false"/>
          <w:i w:val="false"/>
          <w:color w:val="000000"/>
          <w:sz w:val="28"/>
        </w:rPr>
        <w:t xml:space="preserve">
      четвертая группа данных (идентификатор применения (92)) – состоит из цифр, строчных и прописных букв латинского алфавита, а также специальных символов и содержит до 44 символов. </w:t>
      </w:r>
    </w:p>
    <w:bookmarkEnd w:id="19"/>
    <w:bookmarkStart w:name="z35" w:id="20"/>
    <w:p>
      <w:pPr>
        <w:spacing w:after="0"/>
        <w:ind w:left="0"/>
        <w:jc w:val="both"/>
      </w:pPr>
      <w:r>
        <w:rPr>
          <w:rFonts w:ascii="Times New Roman"/>
          <w:b w:val="false"/>
          <w:i w:val="false"/>
          <w:color w:val="000000"/>
          <w:sz w:val="28"/>
        </w:rPr>
        <w:t>
      Третья и четвертая группы данных используются в соответствии с подпунктами "а" и "б"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3. Средства идентификации шин генерируются эмитентами средств идентификации шин государств-членов или участниками оборота.</w:t>
      </w:r>
    </w:p>
    <w:bookmarkEnd w:id="21"/>
    <w:bookmarkStart w:name="z37" w:id="22"/>
    <w:p>
      <w:pPr>
        <w:spacing w:after="0"/>
        <w:ind w:left="0"/>
        <w:jc w:val="both"/>
      </w:pPr>
      <w:r>
        <w:rPr>
          <w:rFonts w:ascii="Times New Roman"/>
          <w:b w:val="false"/>
          <w:i w:val="false"/>
          <w:color w:val="000000"/>
          <w:sz w:val="28"/>
        </w:rPr>
        <w:t>
      4. Шины маркируются путем нанесения средств идентификации на них или на их товарную этикетку методом прямого нанесения, печати или этикетирования. При необходимости, дополнительно, шины могут маркироваться путем нанесения на них или внедрения в них RFID-метки UHF-диапазона с записанным на нее средством идентификации.</w:t>
      </w:r>
    </w:p>
    <w:bookmarkEnd w:id="22"/>
    <w:bookmarkStart w:name="z38" w:id="23"/>
    <w:p>
      <w:pPr>
        <w:spacing w:after="0"/>
        <w:ind w:left="0"/>
        <w:jc w:val="both"/>
      </w:pPr>
      <w:r>
        <w:rPr>
          <w:rFonts w:ascii="Times New Roman"/>
          <w:b w:val="false"/>
          <w:i w:val="false"/>
          <w:color w:val="000000"/>
          <w:sz w:val="28"/>
        </w:rPr>
        <w:t>
      5. Требования к RFID-меткам UHF-диапазона определяются законодательством государств-членов.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6. При комплектации маркированных шин в транспортную упаковку на такую транспортную упаковку может наноситься уникальный идентификатор транспортной упаковки с агрегированием средств идентификации, помещенных в такую упаковку. При этом под агрегированием понимается связывание сведений о средствах идентификации маркированных шин, помещенных в транспортную упаковку, с общим уникальным идентификатором создаваемой транспортной упаковки, наносимым на нее в целях последующей идентификации маркированных шин без необходимости вскрытия транспортной упаковки.</w:t>
      </w:r>
    </w:p>
    <w:bookmarkEnd w:id="24"/>
    <w:bookmarkStart w:name="z40" w:id="25"/>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18 ноября 2019 г. № 129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42" w:id="26"/>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26"/>
    <w:p>
      <w:pPr>
        <w:spacing w:after="0"/>
        <w:ind w:left="0"/>
        <w:jc w:val="both"/>
      </w:pPr>
      <w:r>
        <w:rPr>
          <w:rFonts w:ascii="Times New Roman"/>
          <w:b w:val="false"/>
          <w:i w:val="false"/>
          <w:color w:val="ff0000"/>
          <w:sz w:val="28"/>
        </w:rPr>
        <w:t xml:space="preserve">
      Сноска. Требования - в редакции решения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позициях 4011 10 000 3, 4011 10 000 9, 4011 20 100 0, 4011 20 900 0, 4011 40 000 0, 4011 70 000 0, 4011 80 000 0 и 4011 90 000 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Start w:name="z265" w:id="27"/>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27"/>
    <w:bookmarkStart w:name="z266" w:id="28"/>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28"/>
    <w:bookmarkStart w:name="z267" w:id="29"/>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29"/>
    <w:bookmarkStart w:name="z268" w:id="30"/>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6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идентификаторов применения (AI), используемых при маркировке товаров, классифицируемых в позициях 4011 10 000 3, 4011 10 000 9, 4011 20 100 0, 4011 20 900 0, 4011 40 000 0, 4011 70 000 0, 4011 80 000 0 и 4011 90 000 0 ТН ВЭД ЕАЭС, и правил формирования реквизита "Блок данных средства идентификации", указанных в таблицах 1 – 3 настоящих требований.</w:t>
      </w:r>
    </w:p>
    <w:bookmarkEnd w:id="30"/>
    <w:bookmarkStart w:name="z269" w:id="31"/>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31"/>
    <w:bookmarkStart w:name="z270" w:id="32"/>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32"/>
    <w:bookmarkStart w:name="z271" w:id="33"/>
    <w:p>
      <w:pPr>
        <w:spacing w:after="0"/>
        <w:ind w:left="0"/>
        <w:jc w:val="both"/>
      </w:pPr>
      <w:r>
        <w:rPr>
          <w:rFonts w:ascii="Times New Roman"/>
          <w:b w:val="false"/>
          <w:i w:val="false"/>
          <w:color w:val="000000"/>
          <w:sz w:val="28"/>
        </w:rPr>
        <w:t>
      Таблица 1</w:t>
      </w:r>
    </w:p>
    <w:bookmarkEnd w:id="33"/>
    <w:bookmarkStart w:name="z272" w:id="34"/>
    <w:p>
      <w:pPr>
        <w:spacing w:after="0"/>
        <w:ind w:left="0"/>
        <w:jc w:val="left"/>
      </w:pPr>
      <w:r>
        <w:rPr>
          <w:rFonts w:ascii="Times New Roman"/>
          <w:b/>
          <w:i w:val="false"/>
          <w:color w:val="000000"/>
        </w:rPr>
        <w:t xml:space="preserve"> Перечень сведений о характеристиках товара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типа продукции, к которой относится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Объединенное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материала, из которого изготовлен товар, и иные отличительные признаки товара: модель шины, ширина профиля, номинальное соотношение высоты профиля к его ширине, тип каркаса шины, номинальный посадочный диаметр обода, индекс нагрузки на шину, категория скорости, сезонность и т.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суббренд – это разновидность бренда, особо выделенная производителем (дистрибутором </w:t>
            </w:r>
          </w:p>
          <w:p>
            <w:pPr>
              <w:spacing w:after="20"/>
              <w:ind w:left="20"/>
              <w:jc w:val="both"/>
            </w:pPr>
            <w:r>
              <w:rPr>
                <w:rFonts w:ascii="Times New Roman"/>
                <w:b w:val="false"/>
                <w:i w:val="false"/>
                <w:color w:val="000000"/>
                <w:sz w:val="20"/>
              </w:rPr>
              <w:t xml:space="preserve">и т. 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w:t>
            </w:r>
          </w:p>
          <w:p>
            <w:pPr>
              <w:spacing w:after="20"/>
              <w:ind w:left="20"/>
              <w:jc w:val="both"/>
            </w:pPr>
            <w:r>
              <w:rPr>
                <w:rFonts w:ascii="Times New Roman"/>
                <w:b w:val="false"/>
                <w:i w:val="false"/>
                <w:color w:val="000000"/>
                <w:sz w:val="20"/>
              </w:rPr>
              <w:t xml:space="preserve">о коде (кодовом обозначении) единицы измерения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профиля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профиля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отношение высоты профиля шины к его ширине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профиля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каркаса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посадочный диаметр обода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нагрузки на шину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скорости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(виды 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шины по способу герметизации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тип шины по способу герметизации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3" w:id="35"/>
    <w:p>
      <w:pPr>
        <w:spacing w:after="0"/>
        <w:ind w:left="0"/>
        <w:jc w:val="both"/>
      </w:pPr>
      <w:r>
        <w:rPr>
          <w:rFonts w:ascii="Times New Roman"/>
          <w:b w:val="false"/>
          <w:i w:val="false"/>
          <w:color w:val="000000"/>
          <w:sz w:val="28"/>
        </w:rPr>
        <w:t>
      Таблица 2</w:t>
      </w:r>
    </w:p>
    <w:bookmarkEnd w:id="35"/>
    <w:bookmarkStart w:name="z274" w:id="36"/>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позициях 4011 10 000 3, 4011 10 000 9, 4011 20 100 0, 4011 20 900 0, 4011 40 000 0, 4011 70 000 0, 4011 80 000 0 и 4011 90 000 0 ТН ВЭД ЕАЭС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37"/>
          <w:p>
            <w:pPr>
              <w:spacing w:after="20"/>
              <w:ind w:left="20"/>
              <w:jc w:val="both"/>
            </w:pPr>
            <w:r>
              <w:rPr>
                <w:rFonts w:ascii="Times New Roman"/>
                <w:b w:val="false"/>
                <w:i w:val="false"/>
                <w:color w:val="000000"/>
                <w:sz w:val="20"/>
              </w:rPr>
              <w:t>
Полное наименование AI</w:t>
            </w:r>
          </w:p>
          <w:bookmarkEnd w:id="3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8"/>
          <w:p>
            <w:pPr>
              <w:spacing w:after="20"/>
              <w:ind w:left="20"/>
              <w:jc w:val="both"/>
            </w:pPr>
            <w:r>
              <w:rPr>
                <w:rFonts w:ascii="Times New Roman"/>
                <w:b w:val="false"/>
                <w:i w:val="false"/>
                <w:color w:val="000000"/>
                <w:sz w:val="20"/>
              </w:rPr>
              <w:t>
Серийный код транспортной упаковки (тары) – SSCC (Serial Shipping Container Code)</w:t>
            </w:r>
          </w:p>
          <w:bookmarkEnd w:id="3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p>
            <w:pPr>
              <w:spacing w:after="20"/>
              <w:ind w:left="20"/>
              <w:jc w:val="both"/>
            </w:pPr>
            <w:r>
              <w:rPr>
                <w:rFonts w:ascii="Times New Roman"/>
                <w:b w:val="false"/>
                <w:i w:val="false"/>
                <w:color w:val="000000"/>
                <w:sz w:val="20"/>
              </w:rPr>
              <w:t>(Global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 Global Trade Item Number -глобальный идентификацион-ный номер разновидности товара одного наименования (артикула) в системе открытых стандартов GS1. 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9"/>
          <w:p>
            <w:pPr>
              <w:spacing w:after="20"/>
              <w:ind w:left="20"/>
              <w:jc w:val="both"/>
            </w:pPr>
            <w:r>
              <w:rPr>
                <w:rFonts w:ascii="Times New Roman"/>
                <w:b w:val="false"/>
                <w:i w:val="false"/>
                <w:color w:val="000000"/>
                <w:sz w:val="20"/>
              </w:rPr>
              <w:t xml:space="preserve">
GTIN товарных единиц внутри транспортной упаковки (тары) </w:t>
            </w:r>
          </w:p>
          <w:bookmarkEnd w:id="39"/>
          <w:p>
            <w:pPr>
              <w:spacing w:after="20"/>
              <w:ind w:left="20"/>
              <w:jc w:val="both"/>
            </w:pPr>
            <w:r>
              <w:rPr>
                <w:rFonts w:ascii="Times New Roman"/>
                <w:b w:val="false"/>
                <w:i w:val="false"/>
                <w:color w:val="000000"/>
                <w:sz w:val="20"/>
              </w:rPr>
              <w:t>
(GTIN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40"/>
          <w:p>
            <w:pPr>
              <w:spacing w:after="20"/>
              <w:ind w:left="20"/>
              <w:jc w:val="both"/>
            </w:pPr>
            <w:r>
              <w:rPr>
                <w:rFonts w:ascii="Times New Roman"/>
                <w:b w:val="false"/>
                <w:i w:val="false"/>
                <w:color w:val="000000"/>
                <w:sz w:val="20"/>
              </w:rPr>
              <w:t xml:space="preserve">
идентификатор применения AI (02) показывает, что цифровое поле из </w:t>
            </w:r>
          </w:p>
          <w:bookmarkEnd w:id="40"/>
          <w:p>
            <w:pPr>
              <w:spacing w:after="20"/>
              <w:ind w:left="20"/>
              <w:jc w:val="both"/>
            </w:pPr>
            <w:r>
              <w:rPr>
                <w:rFonts w:ascii="Times New Roman"/>
                <w:b w:val="false"/>
                <w:i w:val="false"/>
                <w:color w:val="000000"/>
                <w:sz w:val="20"/>
              </w:rPr>
              <w:t>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p>
            <w:pPr>
              <w:spacing w:after="20"/>
              <w:ind w:left="20"/>
              <w:jc w:val="both"/>
            </w:pPr>
            <w:r>
              <w:rPr>
                <w:rFonts w:ascii="Times New Roman"/>
                <w:b w:val="false"/>
                <w:i w:val="false"/>
                <w:color w:val="000000"/>
                <w:sz w:val="20"/>
              </w:rPr>
              <w:t>
Пояснение: элементная строка может быть использована только для логистической единицы, которая сама по себе 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1"/>
          <w:p>
            <w:pPr>
              <w:spacing w:after="20"/>
              <w:ind w:left="20"/>
              <w:jc w:val="both"/>
            </w:pPr>
            <w:r>
              <w:rPr>
                <w:rFonts w:ascii="Times New Roman"/>
                <w:b w:val="false"/>
                <w:i w:val="false"/>
                <w:color w:val="000000"/>
                <w:sz w:val="20"/>
              </w:rPr>
              <w:t>
Серийный номер</w:t>
            </w:r>
          </w:p>
          <w:bookmarkEnd w:id="41"/>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2"/>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до </w:t>
            </w:r>
          </w:p>
          <w:bookmarkEnd w:id="42"/>
          <w:p>
            <w:pPr>
              <w:spacing w:after="20"/>
              <w:ind w:left="20"/>
              <w:jc w:val="both"/>
            </w:pPr>
            <w:r>
              <w:rPr>
                <w:rFonts w:ascii="Times New Roman"/>
                <w:b w:val="false"/>
                <w:i w:val="false"/>
                <w:color w:val="000000"/>
                <w:sz w:val="20"/>
              </w:rPr>
              <w:t>13 символов, следующее непосредственно за ним, содержит серийный номер товара, который присваивается товару изготовителем на весь срок его службы. 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xml:space="preserve">
Пояснение: для целей идентификации шин и покрышек используется индивидуальный серийный номер товара, состоящий из </w:t>
            </w:r>
          </w:p>
          <w:p>
            <w:pPr>
              <w:spacing w:after="20"/>
              <w:ind w:left="20"/>
              <w:jc w:val="both"/>
            </w:pPr>
            <w:r>
              <w:rPr>
                <w:rFonts w:ascii="Times New Roman"/>
                <w:b w:val="false"/>
                <w:i w:val="false"/>
                <w:color w:val="000000"/>
                <w:sz w:val="20"/>
              </w:rPr>
              <w:t>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в сведениях </w:t>
            </w:r>
          </w:p>
          <w:p>
            <w:pPr>
              <w:spacing w:after="20"/>
              <w:ind w:left="20"/>
              <w:jc w:val="both"/>
            </w:pPr>
            <w:r>
              <w:rPr>
                <w:rFonts w:ascii="Times New Roman"/>
                <w:b w:val="false"/>
                <w:i w:val="false"/>
                <w:color w:val="000000"/>
                <w:sz w:val="20"/>
              </w:rPr>
              <w:t>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3"/>
          <w:p>
            <w:pPr>
              <w:spacing w:after="20"/>
              <w:ind w:left="20"/>
              <w:jc w:val="both"/>
            </w:pPr>
            <w:r>
              <w:rPr>
                <w:rFonts w:ascii="Times New Roman"/>
                <w:b w:val="false"/>
                <w:i w:val="false"/>
                <w:color w:val="000000"/>
                <w:sz w:val="20"/>
              </w:rPr>
              <w:t xml:space="preserve">
значение кода проверки, создаваемого </w:t>
            </w:r>
          </w:p>
          <w:bookmarkEnd w:id="43"/>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в сведениях </w:t>
            </w:r>
          </w:p>
          <w:p>
            <w:pPr>
              <w:spacing w:after="20"/>
              <w:ind w:left="20"/>
              <w:jc w:val="both"/>
            </w:pPr>
            <w:r>
              <w:rPr>
                <w:rFonts w:ascii="Times New Roman"/>
                <w:b w:val="false"/>
                <w:i w:val="false"/>
                <w:color w:val="000000"/>
                <w:sz w:val="20"/>
              </w:rPr>
              <w:t>о трансграничном перемещении товаров</w:t>
            </w:r>
          </w:p>
        </w:tc>
      </w:tr>
    </w:tbl>
    <w:bookmarkStart w:name="z282" w:id="44"/>
    <w:p>
      <w:pPr>
        <w:spacing w:after="0"/>
        <w:ind w:left="0"/>
        <w:jc w:val="both"/>
      </w:pPr>
      <w:r>
        <w:rPr>
          <w:rFonts w:ascii="Times New Roman"/>
          <w:b w:val="false"/>
          <w:i w:val="false"/>
          <w:color w:val="000000"/>
          <w:sz w:val="28"/>
        </w:rPr>
        <w:t>
      Таблица 3</w:t>
      </w:r>
    </w:p>
    <w:bookmarkEnd w:id="44"/>
    <w:bookmarkStart w:name="z283" w:id="45"/>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4011 10 000 3, 4011 10 000 9, 4011 20 100 0, 4011 20 900 0, 4011 40 000 0, 4011 70 000 0, 4011 80 000 0, 4011 90 000 0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6"/>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4011 10 000 3, 4011 10 000 9, 4011 20 100 0, 4011 20 900 0, 4011 40 000 0, 4011 70 000 0, 4011 80 000 0, 4011 90 000 0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47"/>
          <w:p>
            <w:pPr>
              <w:spacing w:after="20"/>
              <w:ind w:left="20"/>
              <w:jc w:val="both"/>
            </w:pPr>
            <w:r>
              <w:rPr>
                <w:rFonts w:ascii="Times New Roman"/>
                <w:b w:val="false"/>
                <w:i w:val="false"/>
                <w:color w:val="000000"/>
                <w:sz w:val="20"/>
              </w:rPr>
              <w:t>
1. Декомпозицию RFID кода с указанием AI (01) и AI (21) должны осуществлять драйвер RFID-устройства и низкоуровневое ПО. Количество создаваемых экземпляров реквизита "Блок данных средства идентификации": 2</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4011 10 000 3, 4011 10 000 9, 4011 20 100 0, 4011 20 900 0, 4011 40 000 0, 4011 70 000 0, 4011 80 000 0, 4011 90 000 0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48"/>
          <w:p>
            <w:pPr>
              <w:spacing w:after="20"/>
              <w:ind w:left="20"/>
              <w:jc w:val="both"/>
            </w:pPr>
            <w:r>
              <w:rPr>
                <w:rFonts w:ascii="Times New Roman"/>
                <w:b w:val="false"/>
                <w:i w:val="false"/>
                <w:color w:val="000000"/>
                <w:sz w:val="20"/>
              </w:rPr>
              <w:t>
101</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49"/>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ноября 2019 г. № 129</w:t>
            </w:r>
          </w:p>
        </w:tc>
      </w:tr>
    </w:tbl>
    <w:bookmarkStart w:name="z130" w:id="50"/>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50"/>
    <w:p>
      <w:pPr>
        <w:spacing w:after="0"/>
        <w:ind w:left="0"/>
        <w:jc w:val="both"/>
      </w:pPr>
      <w:r>
        <w:rPr>
          <w:rFonts w:ascii="Times New Roman"/>
          <w:b w:val="false"/>
          <w:i w:val="false"/>
          <w:color w:val="ff0000"/>
          <w:sz w:val="28"/>
        </w:rPr>
        <w:t xml:space="preserve">
      Сноска. Наименование - в редакции решения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31" w:id="51"/>
    <w:p>
      <w:pPr>
        <w:spacing w:after="0"/>
        <w:ind w:left="0"/>
        <w:jc w:val="both"/>
      </w:pPr>
      <w:r>
        <w:rPr>
          <w:rFonts w:ascii="Times New Roman"/>
          <w:b w:val="false"/>
          <w:i w:val="false"/>
          <w:color w:val="000000"/>
          <w:sz w:val="28"/>
        </w:rPr>
        <w:t>
      1. Глобальный номер торговой единицы (Global Trade Item Number (GTIN)).</w:t>
      </w:r>
    </w:p>
    <w:bookmarkEnd w:id="51"/>
    <w:bookmarkStart w:name="z132" w:id="52"/>
    <w:p>
      <w:pPr>
        <w:spacing w:after="0"/>
        <w:ind w:left="0"/>
        <w:jc w:val="both"/>
      </w:pPr>
      <w:r>
        <w:rPr>
          <w:rFonts w:ascii="Times New Roman"/>
          <w:b w:val="false"/>
          <w:i w:val="false"/>
          <w:color w:val="000000"/>
          <w:sz w:val="28"/>
        </w:rPr>
        <w:t>
      2. Индивидуальный серийный номер единицы товара (SN).</w:t>
      </w:r>
    </w:p>
    <w:bookmarkEnd w:id="52"/>
    <w:bookmarkStart w:name="z133" w:id="53"/>
    <w:p>
      <w:pPr>
        <w:spacing w:after="0"/>
        <w:ind w:left="0"/>
        <w:jc w:val="both"/>
      </w:pPr>
      <w:r>
        <w:rPr>
          <w:rFonts w:ascii="Times New Roman"/>
          <w:b w:val="false"/>
          <w:i w:val="false"/>
          <w:color w:val="000000"/>
          <w:sz w:val="28"/>
        </w:rPr>
        <w:t>
      3. Код единой Товарной номенклатурой внешнеэкономической деятельности Евразийского экономического союза (10 знаков).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4" w:id="54"/>
    <w:p>
      <w:pPr>
        <w:spacing w:after="0"/>
        <w:ind w:left="0"/>
        <w:jc w:val="both"/>
      </w:pPr>
      <w:r>
        <w:rPr>
          <w:rFonts w:ascii="Times New Roman"/>
          <w:b w:val="false"/>
          <w:i w:val="false"/>
          <w:color w:val="000000"/>
          <w:sz w:val="28"/>
        </w:rPr>
        <w:t>
      4. Наименование товара на этикетке.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5" w:id="55"/>
    <w:p>
      <w:pPr>
        <w:spacing w:after="0"/>
        <w:ind w:left="0"/>
        <w:jc w:val="both"/>
      </w:pPr>
      <w:r>
        <w:rPr>
          <w:rFonts w:ascii="Times New Roman"/>
          <w:b w:val="false"/>
          <w:i w:val="false"/>
          <w:color w:val="000000"/>
          <w:sz w:val="28"/>
        </w:rPr>
        <w:t>
      5. Сведения о товаре:</w:t>
      </w:r>
    </w:p>
    <w:bookmarkEnd w:id="55"/>
    <w:bookmarkStart w:name="z301" w:id="56"/>
    <w:p>
      <w:pPr>
        <w:spacing w:after="0"/>
        <w:ind w:left="0"/>
        <w:jc w:val="both"/>
      </w:pPr>
      <w:r>
        <w:rPr>
          <w:rFonts w:ascii="Times New Roman"/>
          <w:b w:val="false"/>
          <w:i w:val="false"/>
          <w:color w:val="000000"/>
          <w:sz w:val="28"/>
        </w:rPr>
        <w:t>
      товарный знак (бренд);</w:t>
      </w:r>
    </w:p>
    <w:bookmarkEnd w:id="56"/>
    <w:bookmarkStart w:name="z302" w:id="57"/>
    <w:p>
      <w:pPr>
        <w:spacing w:after="0"/>
        <w:ind w:left="0"/>
        <w:jc w:val="both"/>
      </w:pPr>
      <w:r>
        <w:rPr>
          <w:rFonts w:ascii="Times New Roman"/>
          <w:b w:val="false"/>
          <w:i w:val="false"/>
          <w:color w:val="000000"/>
          <w:sz w:val="28"/>
        </w:rPr>
        <w:t>
      модель шины;</w:t>
      </w:r>
    </w:p>
    <w:bookmarkEnd w:id="57"/>
    <w:bookmarkStart w:name="z303" w:id="58"/>
    <w:p>
      <w:pPr>
        <w:spacing w:after="0"/>
        <w:ind w:left="0"/>
        <w:jc w:val="both"/>
      </w:pPr>
      <w:r>
        <w:rPr>
          <w:rFonts w:ascii="Times New Roman"/>
          <w:b w:val="false"/>
          <w:i w:val="false"/>
          <w:color w:val="000000"/>
          <w:sz w:val="28"/>
        </w:rPr>
        <w:t>
      ширина профиля;</w:t>
      </w:r>
    </w:p>
    <w:bookmarkEnd w:id="58"/>
    <w:bookmarkStart w:name="z304" w:id="59"/>
    <w:p>
      <w:pPr>
        <w:spacing w:after="0"/>
        <w:ind w:left="0"/>
        <w:jc w:val="both"/>
      </w:pPr>
      <w:r>
        <w:rPr>
          <w:rFonts w:ascii="Times New Roman"/>
          <w:b w:val="false"/>
          <w:i w:val="false"/>
          <w:color w:val="000000"/>
          <w:sz w:val="28"/>
        </w:rPr>
        <w:t>
      номинальное отношение высоты профиля к его ширине;</w:t>
      </w:r>
    </w:p>
    <w:bookmarkEnd w:id="59"/>
    <w:bookmarkStart w:name="z305" w:id="60"/>
    <w:p>
      <w:pPr>
        <w:spacing w:after="0"/>
        <w:ind w:left="0"/>
        <w:jc w:val="both"/>
      </w:pPr>
      <w:r>
        <w:rPr>
          <w:rFonts w:ascii="Times New Roman"/>
          <w:b w:val="false"/>
          <w:i w:val="false"/>
          <w:color w:val="000000"/>
          <w:sz w:val="28"/>
        </w:rPr>
        <w:t>
      тип каркаса шины;</w:t>
      </w:r>
    </w:p>
    <w:bookmarkEnd w:id="60"/>
    <w:bookmarkStart w:name="z306" w:id="61"/>
    <w:p>
      <w:pPr>
        <w:spacing w:after="0"/>
        <w:ind w:left="0"/>
        <w:jc w:val="both"/>
      </w:pPr>
      <w:r>
        <w:rPr>
          <w:rFonts w:ascii="Times New Roman"/>
          <w:b w:val="false"/>
          <w:i w:val="false"/>
          <w:color w:val="000000"/>
          <w:sz w:val="28"/>
        </w:rPr>
        <w:t>
      номинальный посадочный диаметр обода;</w:t>
      </w:r>
    </w:p>
    <w:bookmarkEnd w:id="61"/>
    <w:bookmarkStart w:name="z307" w:id="62"/>
    <w:p>
      <w:pPr>
        <w:spacing w:after="0"/>
        <w:ind w:left="0"/>
        <w:jc w:val="both"/>
      </w:pPr>
      <w:r>
        <w:rPr>
          <w:rFonts w:ascii="Times New Roman"/>
          <w:b w:val="false"/>
          <w:i w:val="false"/>
          <w:color w:val="000000"/>
          <w:sz w:val="28"/>
        </w:rPr>
        <w:t>
      индекс нагрузки на шину;</w:t>
      </w:r>
    </w:p>
    <w:bookmarkEnd w:id="62"/>
    <w:bookmarkStart w:name="z308" w:id="63"/>
    <w:p>
      <w:pPr>
        <w:spacing w:after="0"/>
        <w:ind w:left="0"/>
        <w:jc w:val="both"/>
      </w:pPr>
      <w:r>
        <w:rPr>
          <w:rFonts w:ascii="Times New Roman"/>
          <w:b w:val="false"/>
          <w:i w:val="false"/>
          <w:color w:val="000000"/>
          <w:sz w:val="28"/>
        </w:rPr>
        <w:t>
      категория скорости;</w:t>
      </w:r>
    </w:p>
    <w:bookmarkEnd w:id="63"/>
    <w:bookmarkStart w:name="z309" w:id="64"/>
    <w:p>
      <w:pPr>
        <w:spacing w:after="0"/>
        <w:ind w:left="0"/>
        <w:jc w:val="both"/>
      </w:pPr>
      <w:r>
        <w:rPr>
          <w:rFonts w:ascii="Times New Roman"/>
          <w:b w:val="false"/>
          <w:i w:val="false"/>
          <w:color w:val="000000"/>
          <w:sz w:val="28"/>
        </w:rPr>
        <w:t>
      сезонность (виды шин);</w:t>
      </w:r>
    </w:p>
    <w:bookmarkEnd w:id="64"/>
    <w:bookmarkStart w:name="z310" w:id="65"/>
    <w:p>
      <w:pPr>
        <w:spacing w:after="0"/>
        <w:ind w:left="0"/>
        <w:jc w:val="both"/>
      </w:pPr>
      <w:r>
        <w:rPr>
          <w:rFonts w:ascii="Times New Roman"/>
          <w:b w:val="false"/>
          <w:i w:val="false"/>
          <w:color w:val="000000"/>
          <w:sz w:val="28"/>
        </w:rPr>
        <w:t>
      тип шины по способу герметизации.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6" w:id="66"/>
    <w:p>
      <w:pPr>
        <w:spacing w:after="0"/>
        <w:ind w:left="0"/>
        <w:jc w:val="both"/>
      </w:pPr>
      <w:r>
        <w:rPr>
          <w:rFonts w:ascii="Times New Roman"/>
          <w:b w:val="false"/>
          <w:i w:val="false"/>
          <w:color w:val="000000"/>
          <w:sz w:val="28"/>
        </w:rPr>
        <w:t>
      6. Информация о субъекте хозяйствования, предоставившем информацию о маркируемом товаре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7" w:id="67"/>
    <w:p>
      <w:pPr>
        <w:spacing w:after="0"/>
        <w:ind w:left="0"/>
        <w:jc w:val="both"/>
      </w:pPr>
      <w:r>
        <w:rPr>
          <w:rFonts w:ascii="Times New Roman"/>
          <w:b w:val="false"/>
          <w:i w:val="false"/>
          <w:color w:val="000000"/>
          <w:sz w:val="28"/>
        </w:rPr>
        <w:t>
      7. Информация о производителе или импортере товара (наименование юридического лица, фамилия, имя индивидуального предпринимателя) (заполняется для товаров, произведенных на территориях государств-членов).</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11" w:id="68"/>
    <w:p>
      <w:pPr>
        <w:spacing w:after="0"/>
        <w:ind w:left="0"/>
        <w:jc w:val="both"/>
      </w:pPr>
      <w:r>
        <w:rPr>
          <w:rFonts w:ascii="Times New Roman"/>
          <w:b w:val="false"/>
          <w:i w:val="false"/>
          <w:color w:val="000000"/>
          <w:sz w:val="28"/>
        </w:rPr>
        <w:t>
      8. Страна происхождения товара.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Минимальный состав дополнен пунктом 8 в соответствии с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