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b341" w14:textId="61bb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пищевой продукции" (ТР ТС 021/2011)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8 августа 2019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 (ТР ТС 021/2011), принятый Решением Комиссии Таможенного союза от 9 декабря 2011 г. № 880, изменения согласно приложению.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180 календарных дней с даты его официального опубликования.  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августа 2019 г. № 115      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технический регламент Таможенного союза "О безопасности пищевой продукции" (ТР ТС 021/2011) 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частях 2 и 4 цифру ", 5" исключить;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часть 5 дополнить абзацами следующего содержания: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"Непереработанное продовольственное (пищевое) сырье животного происхождения, предназначенное для производства (изготовления) пищевой продукции, должно быть получено от продуктивных животных, уловов водных биологических ресурсов и объектов аквакультуры и признано пригодным для употребления в пищу по результатам ветеринарно-санитарной экспертизы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технического регламента.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обращению и производству (изготовлению) пищевой продукции не допускается непереработанное продовольственное (пищевое) сырье животного происхождения: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соответствующее по органолептическим показателям;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содержащее средства консервирования;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обработанное красителями и ароматизаторами, ионизирующим облучением (мясо птицы, кроликов и конины) или ультрафиолетовыми лучами;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мясо и продукты убоя, полученные от туш с остатками внутренних органов, мясо с кровоизлияниями в тканях, неудаленными абсцессами, с личинками оводов и других насекомых, поврежденное и (или) контаминированное грызунами, с механическими примесями, а также с несвойственными мясу цветом, запахом, вкусом (рыбы, лекарственных средств, трав и др.);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охлажденное мясо, мясо птицы, имеющее в любой точке измерения температуру выше плюс 4 °С;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замороженное мясо (за исключением мяса кроликов), имеющее в любой точке измерения температуру выше минус 8 °С, замороженное мясо птицы и мясо кроликов, имеющее в любой точке измерения температуру выше минус 12  С (температура хранения мяса должна быть не выше минус 18 °С);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замороженное мясо и мясо птицы, подвергнутое размораживанию в период хранения;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натуральный мед и продукты пчеловодства, содержащие ветеринарные лекарственные средства (свыше предела обнаружения метода определения) группы имидазолов (метронидазол, диметридазол, ронидазол, клотримазол, аминитризол, тинидазол), и (или) группы нитрофуранов и их метаболитов (включая фуразолидон и фурацилин), дапсон, колхицин, аминазин и их аналоги, и (или) другие установленные актами органов Евразийского экономического союза (далее – Союз) и применяемые для обработки пчел препараты, наличие остаточных количеств которых не допускается, а также препараты кумафос (более 100 мкг/кг) и амитраз (более 200 мкг/кг).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Непереработанное продовольственное (пищевое) сырье животного происхождения, полученное от убоя крупного и мелкого рогатого скота, должно быть получено от животных, которые не получали корма животного происхождения, содержащие белки жвачных животных, за исключением веществ, рекомендованных Кодексом здоровья наземных животных Всемирной организации здравоохранения животных.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аквакультуры, выращенные в установках замкнутого водоснабжения, должны пройти необходимую передержку.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Двустворчатые моллюски, иглокожие, оболочники и морские гастроподы должны пройти необходимую выдержку в распределительно-очистительных центрах.".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подпунктах 9 – 11 части 8 и подпунктах 6 – 8 части 9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"свыше" заменить словом "более".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Часть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При получении непереработанного продовольственного (пищевого) сырья от продуктивных животных, которые подвергались воздействию ветеринарных лекарственных препаратов (натуральных и синтетических эстрогенных, гормональных веществ, тиреостатических препаратов (стимуляторов роста животных), антимикробных и других ветеринарных лекарственных препаратов), должны быть соблюдены сроки выведения таких препаратов из организма животных, установленные инструкциями по применению ветеринарных лекарственных препаратов (с учетом максимально длительного срока в случае их совместного применения).".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абзац первый части 3 изложить в следующей редакции: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К убою для использования на пищевые цели допускаются продуктивные животные, состояние здоровья которых в соответствии с законодательством государства – члена Союза, а также с международными договорами и актами, составляющими право Союза, в сфере применения ветеринарно-санитарных мер позволяет использовать продукты их убоя на пищевые цели.";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абзац второй части 5 дополнить словами "и отравлений различными веществами";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части 6 слова "здоровых продуктивных животных из эпизоотически благополучных хозяйств (производственных объектов)" заменить словами "продуктивных животных, состояние здоровья которых в соответствии с законодательством государства – члена Союза, а также с международными договорами и актами, составляющими право Союза, в сфере применения ветеринарно-санитарных мер позволяет использовать такое сырье на пищевые цели";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часть 7 признать утратившей силу.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В пункте "г"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"(нерыбные объекты промысла)" исключить.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</w:t>
      </w:r>
      <w:r>
        <w:rPr>
          <w:rFonts w:ascii="Times New Roman"/>
          <w:b w:val="false"/>
          <w:i w:val="false"/>
          <w:color w:val="000000"/>
          <w:sz w:val="28"/>
        </w:rPr>
        <w:t>статье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пункте 1 части 2 слова "статьи 35"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предложении втором части 3 слова "статьи 33"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"(или)" исключить.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В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1.3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</w:t>
      </w:r>
      <w:r>
        <w:rPr>
          <w:rFonts w:ascii="Times New Roman"/>
          <w:b/>
          <w:i w:val="false"/>
          <w:color w:val="000000"/>
          <w:sz w:val="28"/>
        </w:rPr>
        <w:t>1.3. Мукомольно-крупяные и хлебобулочные изделия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1.6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</w:t>
      </w:r>
      <w:r>
        <w:rPr>
          <w:rFonts w:ascii="Times New Roman"/>
          <w:b/>
          <w:i w:val="false"/>
          <w:color w:val="000000"/>
          <w:sz w:val="28"/>
        </w:rPr>
        <w:t>1.6.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Жировые продукты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разделы 1.10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Мукомольно-крупяные и хлебобулочные изделия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9"/>
        <w:gridCol w:w="2339"/>
        <w:gridCol w:w="5752"/>
      </w:tblGrid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 уровни, мг/кг, не более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Токсичные элементы: </w:t>
            </w:r>
          </w:p>
        </w:tc>
      </w:tr>
      <w:tr>
        <w:trPr>
          <w:trHeight w:val="30" w:hRule="atLeast"/>
        </w:trPr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свинец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злаковых и зернобобовых культур, за исключением отрубей пищевых, хлеба и булочных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Отруби пищевые (пшеничные, ржаные)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булочные изделия и сдобные изделия </w:t>
            </w:r>
          </w:p>
        </w:tc>
      </w:tr>
      <w:tr>
        <w:trPr>
          <w:trHeight w:val="30" w:hRule="atLeast"/>
        </w:trPr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злаковых культур, за исключением зернобобовых культур, хлеба и булочных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зернобобовых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булочные изделия и сдобные изделия </w:t>
            </w:r>
          </w:p>
        </w:tc>
      </w:tr>
      <w:tr>
        <w:trPr>
          <w:trHeight w:val="30" w:hRule="atLeast"/>
        </w:trPr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кадмий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злаковых и зернобобовых культур, за исключением хлеба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булочных изделий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булочные изделия и сдобные изделия </w:t>
            </w:r>
          </w:p>
        </w:tc>
      </w:tr>
      <w:tr>
        <w:trPr>
          <w:trHeight w:val="30" w:hRule="atLeast"/>
        </w:trPr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Крупа, толокно, хлопья, мука, отруби пищевые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Макаронные изделия, бараночные, сухарные изделия, соломка и др.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Хлеб, булочные изделия и сдобные изделия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Микотоксины: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афлатоксин В1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злаковых и зернобобовых культур</w:t>
            </w:r>
          </w:p>
        </w:tc>
      </w:tr>
      <w:tr>
        <w:trPr>
          <w:trHeight w:val="30" w:hRule="atLeast"/>
        </w:trPr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дезоксиниваленол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пшеницы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ячменя 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Т-2 токсин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злаковых культур  </w:t>
            </w:r>
          </w:p>
        </w:tc>
      </w:tr>
      <w:tr>
        <w:trPr>
          <w:trHeight w:val="30" w:hRule="atLeast"/>
        </w:trPr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зеараленон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Отруби пищевые (пшеничные, ячменные, кукурузные) 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злаковых культур (пшеницы, ячменя, кукурузы) 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охратоксин 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злаковых культур (пшеницы, ячменя, ржи, овса, риса) 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Нитрозоамины (сумма НДМА и НДЭА)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Пивоваренный солод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Пестициды: 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ГХЦГ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-изомеры)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переработки злаковых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зернобобовых культур </w:t>
            </w:r>
          </w:p>
        </w:tc>
      </w:tr>
      <w:tr>
        <w:trPr>
          <w:trHeight w:val="30" w:hRule="atLeast"/>
        </w:trPr>
        <w:tc>
          <w:tcPr>
            <w:tcW w:w="4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ДДТ и его метаболиты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злаковых 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зернобобовых культур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2,4-D кислота,  ее соли и эфиры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(в пределах обнаружения метода определения)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злаковых и зернобобовых культур 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пшеницы 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ртутьорганические пестициды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допускаются (в пределах обнаружения метода определения)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переработки злаковых и зернобобовых культур 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Олигосахара, %, не более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Отруби пищевые (для соевых белковых продуктов) для диетического и детского питания 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Ингибитор трипсина, %, не более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Отруби пищевые (для соевых белковых продуктов) для диетического и детского питания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Зараженность вредителями хлебных запасов (насекомыми, клещами)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(в пределах обнаружения метода определения)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Крупа, толокно, хлопья, мука из продовольственного зерна, отруби пищевые (пшеничные, ржаные)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Загрязненность вредителями хлебных запасов (насекомыми,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клещами), суммарная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плотность загрязненности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(в пределах обнаружения метода определения)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Крупа, толокно, хлопья, мука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продовольственного зерна, отруби пищевые (пшеничные, ржаные) </w:t>
            </w:r>
          </w:p>
        </w:tc>
      </w:tr>
      <w:tr>
        <w:trPr>
          <w:trHeight w:val="30" w:hRule="atLeast"/>
        </w:trPr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Зараженность возбудителями "картофельной болезни" хлеба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(в пределах обнаружения метода определения)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пшеничная, используемая для выпечки хлеба пшеничных сортов (через 36 часов после пробной лабораторной выпечки)";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дополнить словами ", чай, кофе";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"ГХЦГ (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-изомеры)*" дополнить строкой следующего содержания: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588"/>
        <w:gridCol w:w="4896"/>
        <w:gridCol w:w="1188"/>
        <w:gridCol w:w="3231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"ДДТ и его метаболиты*" дополнить строкой следующего содержания: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7"/>
        <w:gridCol w:w="588"/>
        <w:gridCol w:w="4896"/>
        <w:gridCol w:w="1188"/>
        <w:gridCol w:w="3231"/>
      </w:tblGrid>
      <w:tr>
        <w:trPr>
          <w:trHeight w:val="30" w:hRule="atLeast"/>
        </w:trPr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изложить в следующей редакции: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/>
          <w:i w:val="false"/>
          <w:color w:val="000000"/>
          <w:sz w:val="28"/>
        </w:rPr>
        <w:t>7. Масложировая продукция, жировые продукты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"ГХЦГ (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/>
          <w:b w:val="false"/>
          <w:i w:val="false"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-изомеры)":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третьей слова "Семена сои, хлопчатника," исключить;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следующие строки: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451"/>
        <w:gridCol w:w="3759"/>
        <w:gridCol w:w="3768"/>
        <w:gridCol w:w="2481"/>
      </w:tblGrid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0,4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льна, горчицы, рапса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0,5 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подсолнечника, арахиса, кукурузы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позиции "ДДТ и его метаболиты" исключить следующие строки: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413"/>
        <w:gridCol w:w="4485"/>
        <w:gridCol w:w="3447"/>
        <w:gridCol w:w="2271"/>
      </w:tblGrid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0,05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сои, хлопчатника, кукурузы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льна, горчицы, рапса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0,15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Семена подсолнечника, арахиса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</w:t>
      </w:r>
      <w:r>
        <w:rPr>
          <w:rFonts w:ascii="Times New Roman"/>
          <w:b w:val="false"/>
          <w:i w:val="false"/>
          <w:color w:val="000000"/>
          <w:sz w:val="28"/>
        </w:rPr>
        <w:t>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позиции "йод" дополнить позицией следующего содержания: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965"/>
        <w:gridCol w:w="3375"/>
        <w:gridCol w:w="3384"/>
        <w:gridCol w:w="2627"/>
      </w:tblGrid>
      <w:tr>
        <w:trPr>
          <w:trHeight w:val="3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Желатин, концентраты соединительнотканных белков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 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"Приложения для всех разделов":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Антибиотики: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7"/>
        <w:gridCol w:w="4848"/>
        <w:gridCol w:w="20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левомицетин (хлорамфеникол)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 0,0003 мг/кг)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и продукты переработки молока; ферментные препараты молокосвертывающие</w:t>
            </w:r>
          </w:p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тетрациклиновая группа: тетрациклин, окситетрациклин, хлортетрациклин (сумма исходных веществ и их 4-эпимеров)*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 0,01 мг/кг)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стрептомицин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 0,2 мг/кг)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пенициллин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 0,004 мг/кг)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2444"/>
        <w:gridCol w:w="7150"/>
      </w:tblGrid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левомицетин (хлорамфеникол)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 0,0003 мг/кг)</w:t>
            </w:r>
          </w:p>
        </w:tc>
        <w:tc>
          <w:tcPr>
            <w:tcW w:w="7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Мясо, в том числе мясо птицы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диких животных и птицы); Мясные и мясосодержащие продукты, в том числе птичьи; Субпродукты, в том числе птичьи; Продукты, их содержащие; Продукты переработки мясного сырья, мяса птицы, субпродуктов, в том числе птичьих; Яйца, яйцепродукты, продукты переработки яиц, продукты, содержащие яйца; Рыба садкового содержания; Мед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тетрациклиновая группа: тетрациклин, окситетрациклин, хлортетрациклин (сумма исходных веществ и их 4-эпимеров)*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 0,01 мг/кг)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бацитрацин (кроме мяса кроликов)**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 0,02 мг/кг)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 Допустимые уровни остаточного содержания доксициклина устанавливаются техническими регламентами Союза (Таможенного союза) на отдельные виды пищевой продукции, а также актами органов Союза.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 Допустимый уровень остаточного содержания бацитрацина в продуктах убоя кроликов устанавливается техническим регламентом Таможенного союза "О безопасности мяса и мясной продукции" (ТР ТС 034/2013).";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 "Допустимый уровень диоксинов не нормируется в продуктах, содержащих менее 1 % жира.";</w:t>
      </w:r>
    </w:p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позиции "Левомицетин" таблицы "Продукты детского питания":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"Левомицетин" заменить словами "Левомицетин (хлорамфеникол)";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графы второй цифры "0,01" заменить цифрами "0,0003".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В позиции 15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слова "пищевые злаки," исключить.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признать утратившим силу.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В </w:t>
      </w:r>
      <w:r>
        <w:rPr>
          <w:rFonts w:ascii="Times New Roman"/>
          <w:b w:val="false"/>
          <w:i w:val="false"/>
          <w:color w:val="000000"/>
          <w:sz w:val="28"/>
        </w:rPr>
        <w:t>разделе 1.1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техническому регламенту: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279 изложить в следующей редакции: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38"/>
        <w:gridCol w:w="943"/>
        <w:gridCol w:w="9197"/>
        <w:gridCol w:w="822"/>
      </w:tblGrid>
      <w:tr>
        <w:trPr>
          <w:trHeight w:val="30" w:hRule="atLeast"/>
        </w:trPr>
        <w:tc>
          <w:tcPr>
            <w:tcW w:w="13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"279.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Солянка южная (солянка русская) </w:t>
            </w:r>
          </w:p>
        </w:tc>
        <w:tc>
          <w:tcPr>
            <w:tcW w:w="91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Salsola austrаlis R.Br. (=S. ruthenica Ilijin) </w:t>
            </w:r>
          </w:p>
        </w:tc>
        <w:tc>
          <w:tcPr>
            <w:tcW w:w="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части растения";</w:t>
            </w: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позициями следующего содержания: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33"/>
        <w:gridCol w:w="295"/>
        <w:gridCol w:w="9447"/>
        <w:gridCol w:w="1003"/>
        <w:gridCol w:w="122"/>
      </w:tblGrid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Аир злаковый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Acorus gramineus Soland. (= A. pusillus Sieb.)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Корневище, эфирное масло, листья";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Бассия холодная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Bassia cycloptera Bunge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Надземная часть";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Бинерция округлокрылая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Bienertia cycloptera Bunge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Надземная часть";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Буниум персидский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Bunium persicum B. Fedtsch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части растения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Буниум цилиндрический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Bunium cylindricum Drude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Надземная часть и эфирное масло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нее";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Гимнокалициум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Gymnocalycium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Надземная часть";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Двукисточник тростниковый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Phalaris tuberose L.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Надземная часть";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Ежовник членистый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Anabasis articulatа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Надземная часть";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Колоцинт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Citrullus colocynthis Schrad.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(порошок, экстракт) 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Колюченосник Зибторпа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Echinophora sibthorpiana Huss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Надземная часть";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Корифанта мелкодольчатая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Coryphantha micromeris Lem.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растение"; 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Лебеда монетная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Atriplex nummularia Lindl.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Надземная часть"; 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Многоколосник морщинистый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Agastache rugosa O.Kuntze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Эфирное масло"; 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Мосла двупыльниковая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Mosla dianthera L.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Эфирное масло"; 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Орлайя морковная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Orlaya daucoides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(эфирное масло) </w:t>
            </w:r>
          </w:p>
        </w:tc>
      </w:tr>
      <w:tr>
        <w:trPr>
          <w:trHeight w:val="30" w:hRule="atLeast"/>
        </w:trPr>
        <w:tc>
          <w:tcPr>
            <w:tcW w:w="1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Ортодон азароновый </w:t>
            </w:r>
          </w:p>
        </w:tc>
        <w:tc>
          <w:tcPr>
            <w:tcW w:w="94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Orthodon asaroniferum </w:t>
            </w:r>
          </w:p>
        </w:tc>
        <w:tc>
          <w:tcPr>
            <w:tcW w:w="10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Надземная часть". </w:t>
            </w:r>
          </w:p>
        </w:tc>
        <w:tc>
          <w:tcPr>
            <w:tcW w:w="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