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3e81c" w14:textId="0a3e8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перечень категорий товаров, временное нахождение и использование которых на таможенной территории Евразийского экономического союза в соответствии с таможенной процедурой временного ввоза (допуска) допускаются без уплаты ввозных таможенных пошлин, налогов</w:t>
      </w:r>
    </w:p>
    <w:p>
      <w:pPr>
        <w:spacing w:after="0"/>
        <w:ind w:left="0"/>
        <w:jc w:val="both"/>
      </w:pPr>
      <w:r>
        <w:rPr>
          <w:rFonts w:ascii="Times New Roman"/>
          <w:b w:val="false"/>
          <w:i w:val="false"/>
          <w:color w:val="000000"/>
          <w:sz w:val="28"/>
        </w:rPr>
        <w:t>Решение Совета Евразийской экономической комиссии от 8 августа 2019 года № 83.</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Решение утрачивает силу решением Совета Евразийской экономической комиссии от 22.04.2024 </w:t>
      </w:r>
      <w:r>
        <w:rPr>
          <w:rFonts w:ascii="Times New Roman"/>
          <w:b w:val="false"/>
          <w:i w:val="false"/>
          <w:color w:val="ff0000"/>
          <w:sz w:val="28"/>
        </w:rPr>
        <w:t>№ 54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219 Таможенного кодекса Евразийского экономического союза и </w:t>
      </w:r>
      <w:r>
        <w:rPr>
          <w:rFonts w:ascii="Times New Roman"/>
          <w:b w:val="false"/>
          <w:i w:val="false"/>
          <w:color w:val="000000"/>
          <w:sz w:val="28"/>
        </w:rPr>
        <w:t>пунктом 5</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Совет Евразийской экономической комиссии </w:t>
      </w:r>
      <w:r>
        <w:rPr>
          <w:rFonts w:ascii="Times New Roman"/>
          <w:b/>
          <w:i w:val="false"/>
          <w:color w:val="000000"/>
          <w:sz w:val="28"/>
        </w:rPr>
        <w:t xml:space="preserve">решил: </w:t>
      </w:r>
    </w:p>
    <w:bookmarkEnd w:id="0"/>
    <w:bookmarkStart w:name="z5" w:id="1"/>
    <w:p>
      <w:pPr>
        <w:spacing w:after="0"/>
        <w:ind w:left="0"/>
        <w:jc w:val="both"/>
      </w:pPr>
      <w:r>
        <w:rPr>
          <w:rFonts w:ascii="Times New Roman"/>
          <w:b w:val="false"/>
          <w:i w:val="false"/>
          <w:color w:val="000000"/>
          <w:sz w:val="28"/>
        </w:rPr>
        <w:t>
      1. </w:t>
      </w:r>
      <w:r>
        <w:rPr>
          <w:rFonts w:ascii="Times New Roman"/>
          <w:b w:val="false"/>
          <w:i w:val="false"/>
          <w:color w:val="000000"/>
          <w:sz w:val="28"/>
        </w:rPr>
        <w:t>Перечень</w:t>
      </w:r>
      <w:r>
        <w:rPr>
          <w:rFonts w:ascii="Times New Roman"/>
          <w:b w:val="false"/>
          <w:i w:val="false"/>
          <w:color w:val="000000"/>
          <w:sz w:val="28"/>
        </w:rPr>
        <w:t xml:space="preserve"> категорий товаров, временное нахождение и использование которых на таможенной территории Евразийского экономического союза в соответствии с таможенной процедурой временного ввоза (допуска) допускаются без уплаты ввозных таможенных пошлин, налогов, утвержденный Решением Совета Евразийской экономической комиссии от 20 декабря 2017 г. № 109, дополнить пунктом 8 следующего содержания:</w:t>
      </w:r>
    </w:p>
    <w:bookmarkEnd w:id="1"/>
    <w:bookmarkStart w:name="z6" w:id="2"/>
    <w:p>
      <w:pPr>
        <w:spacing w:after="0"/>
        <w:ind w:left="0"/>
        <w:jc w:val="both"/>
      </w:pPr>
      <w:r>
        <w:rPr>
          <w:rFonts w:ascii="Times New Roman"/>
          <w:b w:val="false"/>
          <w:i w:val="false"/>
          <w:color w:val="000000"/>
          <w:sz w:val="28"/>
        </w:rPr>
        <w:t>
      "8. Гражданские пассажирские самолеты с количеством пассажирских мест, указанным в схеме размещения пассажиров (LOPA), одобренной уполномоченным органом, ответственным за поддержание летной годности воздушных судов, более чемна 19 человек, но не более чем на 35 человек, массой пустого снаряженного самолета более 28 000 кг, но не более 60 000 кг(код 8802 40 003 4 ТН ВЭД ЕАЭС), при одновременном соблюдении следующих условий:</w:t>
      </w:r>
    </w:p>
    <w:bookmarkEnd w:id="2"/>
    <w:bookmarkStart w:name="z7" w:id="3"/>
    <w:p>
      <w:pPr>
        <w:spacing w:after="0"/>
        <w:ind w:left="0"/>
        <w:jc w:val="both"/>
      </w:pPr>
      <w:r>
        <w:rPr>
          <w:rFonts w:ascii="Times New Roman"/>
          <w:b w:val="false"/>
          <w:i w:val="false"/>
          <w:color w:val="000000"/>
          <w:sz w:val="28"/>
        </w:rPr>
        <w:t>
      такие самолеты помещены под таможенную процедуру временного ввоза (допуска) в период с 1 сентября 2019 года по 31 декабря 2024 года;</w:t>
      </w:r>
    </w:p>
    <w:bookmarkEnd w:id="3"/>
    <w:bookmarkStart w:name="z8" w:id="4"/>
    <w:p>
      <w:pPr>
        <w:spacing w:after="0"/>
        <w:ind w:left="0"/>
        <w:jc w:val="both"/>
      </w:pPr>
      <w:r>
        <w:rPr>
          <w:rFonts w:ascii="Times New Roman"/>
          <w:b w:val="false"/>
          <w:i w:val="false"/>
          <w:color w:val="000000"/>
          <w:sz w:val="28"/>
        </w:rPr>
        <w:t>
      такие самолеты находятся в собственности иностранных лиц;</w:t>
      </w:r>
    </w:p>
    <w:bookmarkEnd w:id="4"/>
    <w:bookmarkStart w:name="z9" w:id="5"/>
    <w:p>
      <w:pPr>
        <w:spacing w:after="0"/>
        <w:ind w:left="0"/>
        <w:jc w:val="both"/>
      </w:pPr>
      <w:r>
        <w:rPr>
          <w:rFonts w:ascii="Times New Roman"/>
          <w:b w:val="false"/>
          <w:i w:val="false"/>
          <w:color w:val="000000"/>
          <w:sz w:val="28"/>
        </w:rPr>
        <w:t>
      такие самолеты используются на таможенной территории Евразийского экономического союза в нерегулярных (вне коммерческого расписания) полетах;</w:t>
      </w:r>
    </w:p>
    <w:bookmarkEnd w:id="5"/>
    <w:bookmarkStart w:name="z10" w:id="6"/>
    <w:p>
      <w:pPr>
        <w:spacing w:after="0"/>
        <w:ind w:left="0"/>
        <w:jc w:val="both"/>
      </w:pPr>
      <w:r>
        <w:rPr>
          <w:rFonts w:ascii="Times New Roman"/>
          <w:b w:val="false"/>
          <w:i w:val="false"/>
          <w:color w:val="000000"/>
          <w:sz w:val="28"/>
        </w:rPr>
        <w:t>
      такие самолеты используются не в целях извлечения доходов;</w:t>
      </w:r>
    </w:p>
    <w:bookmarkEnd w:id="6"/>
    <w:bookmarkStart w:name="z11" w:id="7"/>
    <w:p>
      <w:pPr>
        <w:spacing w:after="0"/>
        <w:ind w:left="0"/>
        <w:jc w:val="both"/>
      </w:pPr>
      <w:r>
        <w:rPr>
          <w:rFonts w:ascii="Times New Roman"/>
          <w:b w:val="false"/>
          <w:i w:val="false"/>
          <w:color w:val="000000"/>
          <w:sz w:val="28"/>
        </w:rPr>
        <w:t>
      в случае если такие самолеты ранее помещались под таможенную процедуру временного ввоза (допуска), в том числе неоднократно и (или) разными декларантами, – срок, в течение которого эти самолеты в текущем календарном году находились на таможенной территории Евразийского экономического союза в соответствии с таможенной процедурой временного ввоза (допуска) без уплаты ввозных таможенных пошлин, налогов, и срок, в пределах которого помещаемые под таможенную процедуру временного ввоза (допуска) самолеты в текущем календарном году могут временно находиться и использоваться на таможенной территории Евразийского экономического союза без уплаты ввозных таможенных пошлин, налогов, в сумме не превышают 180 календарных дней.</w:t>
      </w:r>
    </w:p>
    <w:bookmarkEnd w:id="7"/>
    <w:bookmarkStart w:name="z12" w:id="8"/>
    <w:p>
      <w:pPr>
        <w:spacing w:after="0"/>
        <w:ind w:left="0"/>
        <w:jc w:val="both"/>
      </w:pPr>
      <w:r>
        <w:rPr>
          <w:rFonts w:ascii="Times New Roman"/>
          <w:b w:val="false"/>
          <w:i w:val="false"/>
          <w:color w:val="000000"/>
          <w:sz w:val="28"/>
        </w:rPr>
        <w:t>
      Предельный срок временного нахождения и использования на таможенной территории Евразийского экономического союза в соответствии с таможенной процедурой временного ввоза (допуска) без уплаты ввозных таможенных пошлин, налогов таких самолетов – 30 календарных дней со дня помещения под такую таможенную процедуру.</w:t>
      </w:r>
    </w:p>
    <w:bookmarkEnd w:id="8"/>
    <w:bookmarkStart w:name="z13" w:id="9"/>
    <w:p>
      <w:pPr>
        <w:spacing w:after="0"/>
        <w:ind w:left="0"/>
        <w:jc w:val="both"/>
      </w:pPr>
      <w:r>
        <w:rPr>
          <w:rFonts w:ascii="Times New Roman"/>
          <w:b w:val="false"/>
          <w:i w:val="false"/>
          <w:color w:val="000000"/>
          <w:sz w:val="28"/>
        </w:rPr>
        <w:t>
      Срок, установленный в абзаце втором настоящего пункта, может продлеваться на каждые последующие 5 лет. Каждое последующее продление одобряется Советом Евразийской экономической комиссии.".</w:t>
      </w:r>
    </w:p>
    <w:bookmarkEnd w:id="9"/>
    <w:bookmarkStart w:name="z14" w:id="10"/>
    <w:p>
      <w:pPr>
        <w:spacing w:after="0"/>
        <w:ind w:left="0"/>
        <w:jc w:val="both"/>
      </w:pPr>
      <w:r>
        <w:rPr>
          <w:rFonts w:ascii="Times New Roman"/>
          <w:b w:val="false"/>
          <w:i w:val="false"/>
          <w:color w:val="000000"/>
          <w:sz w:val="28"/>
        </w:rPr>
        <w:t xml:space="preserve">
      2. Настоящее Решение вступает в силу по истечении 10 календарных дней с даты его официального опубликования. </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 w:id="11"/>
    <w:p>
      <w:pPr>
        <w:spacing w:after="0"/>
        <w:ind w:left="0"/>
        <w:jc w:val="left"/>
      </w:pPr>
      <w:r>
        <w:rPr>
          <w:rFonts w:ascii="Times New Roman"/>
          <w:b/>
          <w:i w:val="false"/>
          <w:color w:val="000000"/>
        </w:rPr>
        <w:t xml:space="preserve"> 
      Члены Совета Евразийской экономической комиссии:  </w:t>
      </w:r>
      <w:r>
        <w:br/>
      </w:r>
      <w:r>
        <w:rPr>
          <w:rFonts w:ascii="Times New Roman"/>
          <w:b/>
          <w:i w:val="false"/>
          <w:color w:val="000000"/>
        </w:rPr>
        <w:t>
</w:t>
      </w:r>
    </w:p>
    <w:bookmarkEnd w:id="11"/>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Кыргызской</w:t>
            </w:r>
          </w:p>
          <w:p>
            <w:pPr>
              <w:spacing w:after="20"/>
              <w:ind w:left="20"/>
              <w:jc w:val="both"/>
            </w:pPr>
          </w:p>
          <w:p>
            <w:pPr>
              <w:spacing w:after="20"/>
              <w:ind w:left="20"/>
              <w:jc w:val="both"/>
            </w:pPr>
            <w:r>
              <w:rPr>
                <w:rFonts w:ascii="Times New Roman"/>
                <w:b/>
                <w:i w:val="false"/>
                <w:color w:val="000000"/>
                <w:sz w:val="20"/>
              </w:rPr>
              <w:t>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w:t>
            </w:r>
          </w:p>
          <w:p>
            <w:pPr>
              <w:spacing w:after="20"/>
              <w:ind w:left="20"/>
              <w:jc w:val="both"/>
            </w:pPr>
          </w:p>
          <w:p>
            <w:pPr>
              <w:spacing w:after="20"/>
              <w:ind w:left="20"/>
              <w:jc w:val="both"/>
            </w:pPr>
            <w:r>
              <w:rPr>
                <w:rFonts w:ascii="Times New Roman"/>
                <w:b/>
                <w:i w:val="false"/>
                <w:color w:val="000000"/>
                <w:sz w:val="20"/>
              </w:rPr>
              <w:t>Федерации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 Григорян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 Петришенко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Смаилов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 Разаков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Силуанов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