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6e6e" w14:textId="1a0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государствами – членами Евразийского экономического союза обязательств в отношении чувствительных товаров при осуществлении мер промышленной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июня 2019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к сведению результаты мониторинга исполнения государствами – членами Евразийского экономического союза (далее – государства-члены) международных договоров в рамках Евразийского экономического союза и актов органов Евразийского экономического союза в части, касающейся выполнения государствами-членами обязательств в отношении чувствительных товаров при осуществлении мер промышленной политики,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Просить правительства государств-членов при определении направлений реализации национальной промышленной политики в отношении чувствительных товаров, приоритетных для промышленного сотрудничества государств-членов, принять необходимые меры, направленные на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года, а также Порядка проведения консультаций в отношении чувствительных товаров и (или) взаимного информирования государств – членов Евразийского экономического союза о планируемых направлениях реализации национальной промышленной политики в отношении чувствительных товаров </w:t>
      </w:r>
      <w:r>
        <w:rPr>
          <w:rFonts w:ascii="Times New Roman"/>
          <w:b w:val="false"/>
          <w:i w:val="false"/>
          <w:color w:val="000000"/>
          <w:sz w:val="28"/>
        </w:rPr>
        <w:t>(приложение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Основным направлениям промышленного сотрудничества в рамках Евразийского экономического союза, утвержденным Решением Евразийского межправительственного совета от 8 сентября 2015 г. № 9), и проинформировать Евразийскую экономическую комиссию о принятых мерах в течение 10 календарных дней с даты вступления настоящего Решения в силу.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