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0fd0" w14:textId="cf80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 Порядка применения освобождения от уплаты таможенных пошлин при ввозе отдельных категорий товаров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2019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указанному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Продукция морского промысла судов государств – членов Евразийского экономического союза, а также судов, арендованных (зафрахтованных) юридическими лицами и (или) физическими лицами государств – членов Евразийского экономического союза, освобождается от ввозной таможенной пошлины при представлении следующих документов: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 или аренду (фрахтование) судна;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органа государства – члена Евразийского экономического союза, уполномоченного в области рыболовства и (или) охраны морских биологических ресурсов, дающий право на осуществление морского промысла (в случае ввоза продукции морского промысла судов, осуществляющих добычу (вылов) водных биологических ресурсов).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ввозной таможенной пошлины распространяется на уловы водных биологических ресурсов, добытые (выловленные) судами государств – членов Евразийского экономического союза, а также судами, арендованными (зафрахтованными) юридическими лицами и (или) физическими лицами государств – членов Евразийского экономического союза, а также на рыбную и иную продукцию, произведенную на указанных судах из водных биологических ресурсов.".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