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56c3" w14:textId="4815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Евразийской экономической комиссии в отношении отдельных видов гражданских пассажирских самолетов</w:t>
      </w:r>
    </w:p>
    <w:p>
      <w:pPr>
        <w:spacing w:after="0"/>
        <w:ind w:left="0"/>
        <w:jc w:val="both"/>
      </w:pPr>
      <w:r>
        <w:rPr>
          <w:rFonts w:ascii="Times New Roman"/>
          <w:b w:val="false"/>
          <w:i w:val="false"/>
          <w:color w:val="000000"/>
          <w:sz w:val="28"/>
        </w:rPr>
        <w:t>Решение Совета Евразийской экономической комиссии от 29 апреля 2019 года № 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и </w:t>
      </w:r>
      <w:r>
        <w:rPr>
          <w:rFonts w:ascii="Times New Roman"/>
          <w:b w:val="false"/>
          <w:i w:val="false"/>
          <w:color w:val="000000"/>
          <w:sz w:val="28"/>
        </w:rPr>
        <w:t>пунктом 2</w:t>
      </w:r>
      <w:r>
        <w:rPr>
          <w:rFonts w:ascii="Times New Roman"/>
          <w:b w:val="false"/>
          <w:i w:val="false"/>
          <w:color w:val="000000"/>
          <w:sz w:val="28"/>
        </w:rPr>
        <w:t xml:space="preserve"> статьи 221 Таможенного кодекса Евразийского экономического союза, </w:t>
      </w:r>
      <w:r>
        <w:rPr>
          <w:rFonts w:ascii="Times New Roman"/>
          <w:b w:val="false"/>
          <w:i w:val="false"/>
          <w:color w:val="000000"/>
          <w:sz w:val="28"/>
        </w:rPr>
        <w:t>пунктом 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утвержденный Решением Совета Евразийской экономической комиссии от 20 декабря 2017 г. № 109, дополнить пунктом следующего содержания:</w:t>
      </w:r>
    </w:p>
    <w:bookmarkStart w:name="z6" w:id="1"/>
    <w:p>
      <w:pPr>
        <w:spacing w:after="0"/>
        <w:ind w:left="0"/>
        <w:jc w:val="both"/>
      </w:pPr>
      <w:r>
        <w:rPr>
          <w:rFonts w:ascii="Times New Roman"/>
          <w:b w:val="false"/>
          <w:i w:val="false"/>
          <w:color w:val="000000"/>
          <w:sz w:val="28"/>
        </w:rPr>
        <w:t>
      "6. Гражданские пассажирские самолеты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19 человек, массой пустого снаряженного самолета не более 28 000 кг (коды 8802 30 000 2, 8802 40 001 1 и 8802 40 003 4 ТН ВЭД ЕАЭС) при одновременном соблюдении следующих условий:</w:t>
      </w:r>
    </w:p>
    <w:bookmarkEnd w:id="1"/>
    <w:bookmarkStart w:name="z7" w:id="2"/>
    <w:p>
      <w:pPr>
        <w:spacing w:after="0"/>
        <w:ind w:left="0"/>
        <w:jc w:val="both"/>
      </w:pPr>
      <w:r>
        <w:rPr>
          <w:rFonts w:ascii="Times New Roman"/>
          <w:b w:val="false"/>
          <w:i w:val="false"/>
          <w:color w:val="000000"/>
          <w:sz w:val="28"/>
        </w:rPr>
        <w:t>
      такие самолеты находятся в собственности иностранных лиц;</w:t>
      </w:r>
    </w:p>
    <w:bookmarkEnd w:id="2"/>
    <w:bookmarkStart w:name="z8" w:id="3"/>
    <w:p>
      <w:pPr>
        <w:spacing w:after="0"/>
        <w:ind w:left="0"/>
        <w:jc w:val="both"/>
      </w:pPr>
      <w:r>
        <w:rPr>
          <w:rFonts w:ascii="Times New Roman"/>
          <w:b w:val="false"/>
          <w:i w:val="false"/>
          <w:color w:val="000000"/>
          <w:sz w:val="28"/>
        </w:rPr>
        <w:t>
      такие самолеты используются на таможенной территории Евразийского экономического союза в нерегулярных (вне коммерческого расписания) полетах;</w:t>
      </w:r>
    </w:p>
    <w:bookmarkEnd w:id="3"/>
    <w:bookmarkStart w:name="z9" w:id="4"/>
    <w:p>
      <w:pPr>
        <w:spacing w:after="0"/>
        <w:ind w:left="0"/>
        <w:jc w:val="both"/>
      </w:pPr>
      <w:r>
        <w:rPr>
          <w:rFonts w:ascii="Times New Roman"/>
          <w:b w:val="false"/>
          <w:i w:val="false"/>
          <w:color w:val="000000"/>
          <w:sz w:val="28"/>
        </w:rPr>
        <w:t>
      такие самолеты используются не в целях извлечения доходов;</w:t>
      </w:r>
    </w:p>
    <w:bookmarkEnd w:id="4"/>
    <w:bookmarkStart w:name="z10" w:id="5"/>
    <w:p>
      <w:pPr>
        <w:spacing w:after="0"/>
        <w:ind w:left="0"/>
        <w:jc w:val="both"/>
      </w:pPr>
      <w:r>
        <w:rPr>
          <w:rFonts w:ascii="Times New Roman"/>
          <w:b w:val="false"/>
          <w:i w:val="false"/>
          <w:color w:val="000000"/>
          <w:sz w:val="28"/>
        </w:rPr>
        <w:t>
      в случае, если такие самолеты ранее помещались под таможенную процедуру временного ввоза (допуска), в том числе неоднократно и (или) разными декларантами, – срок, в течение которого эти самолеты в текущем календарном году находились на таможенной территории Евразийского экономического союза в соответствии с таможенной процедурой временного ввоза (допуска) без уплаты ввозных таможенных пошлин, налогов, и срок, в пределах которого помещаемые под таможенную процедуру временного ввоза (допуска) самолеты в текущем календарном году могут временно находиться и использоваться на таможенной территории Евразийского экономического союза без уплаты ввозных таможенных пошлин, налогов, в сумме не превышают 180 календарных дней.</w:t>
      </w:r>
    </w:p>
    <w:bookmarkEnd w:id="5"/>
    <w:bookmarkStart w:name="z11" w:id="6"/>
    <w:p>
      <w:pPr>
        <w:spacing w:after="0"/>
        <w:ind w:left="0"/>
        <w:jc w:val="both"/>
      </w:pPr>
      <w:r>
        <w:rPr>
          <w:rFonts w:ascii="Times New Roman"/>
          <w:b w:val="false"/>
          <w:i w:val="false"/>
          <w:color w:val="000000"/>
          <w:sz w:val="28"/>
        </w:rPr>
        <w:t>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(допуска) без уплаты ввозных таможенных пошлин, налогов таких самолетов – 30 календарных дней со дня помещения под указанную таможенную процедуру.".</w:t>
      </w:r>
    </w:p>
    <w:bookmarkEnd w:id="6"/>
    <w:bookmarkStart w:name="z12"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375 "Об отдельных вопросах применения таможенных процедур" следующие изменения:</w:t>
      </w:r>
    </w:p>
    <w:bookmarkEnd w:id="7"/>
    <w:bookmarkStart w:name="z13" w:id="8"/>
    <w:p>
      <w:pPr>
        <w:spacing w:after="0"/>
        <w:ind w:left="0"/>
        <w:jc w:val="both"/>
      </w:pPr>
      <w:r>
        <w:rPr>
          <w:rFonts w:ascii="Times New Roman"/>
          <w:b w:val="false"/>
          <w:i w:val="false"/>
          <w:color w:val="000000"/>
          <w:sz w:val="28"/>
        </w:rPr>
        <w:t>
      а) </w:t>
      </w:r>
      <w:r>
        <w:rPr>
          <w:rFonts w:ascii="Times New Roman"/>
          <w:b w:val="false"/>
          <w:i w:val="false"/>
          <w:color w:val="000000"/>
          <w:sz w:val="28"/>
        </w:rPr>
        <w:t>подпункт 11</w:t>
      </w:r>
      <w:r>
        <w:rPr>
          <w:rFonts w:ascii="Times New Roman"/>
          <w:b w:val="false"/>
          <w:i w:val="false"/>
          <w:color w:val="000000"/>
          <w:sz w:val="28"/>
        </w:rPr>
        <w:t xml:space="preserve"> пункта 1 признать утратившим силу;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б)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пункте 6 </w:t>
      </w:r>
      <w:r>
        <w:rPr>
          <w:rFonts w:ascii="Times New Roman"/>
          <w:b w:val="false"/>
          <w:i w:val="false"/>
          <w:color w:val="000000"/>
          <w:sz w:val="28"/>
        </w:rPr>
        <w:t>Перечня</w:t>
      </w:r>
      <w:r>
        <w:rPr>
          <w:rFonts w:ascii="Times New Roman"/>
          <w:b w:val="false"/>
          <w:i w:val="false"/>
          <w:color w:val="000000"/>
          <w:sz w:val="28"/>
        </w:rPr>
        <w:t xml:space="preserve"> категорий товаров, в отношении которых устанавливаются более продолжительные, чем установленные Таможенным </w:t>
      </w:r>
      <w:r>
        <w:rPr>
          <w:rFonts w:ascii="Times New Roman"/>
          <w:b w:val="false"/>
          <w:i w:val="false"/>
          <w:color w:val="000000"/>
          <w:sz w:val="28"/>
        </w:rPr>
        <w:t>кодексом</w:t>
      </w:r>
      <w:r>
        <w:rPr>
          <w:rFonts w:ascii="Times New Roman"/>
          <w:b w:val="false"/>
          <w:i w:val="false"/>
          <w:color w:val="000000"/>
          <w:sz w:val="28"/>
        </w:rPr>
        <w:t xml:space="preserve"> Таможенного союза, предельные сроки временного ввоза, утвержденного указанным </w:t>
      </w:r>
      <w:r>
        <w:rPr>
          <w:rFonts w:ascii="Times New Roman"/>
          <w:b w:val="false"/>
          <w:i w:val="false"/>
          <w:color w:val="000000"/>
          <w:sz w:val="28"/>
        </w:rPr>
        <w:t>Решением</w:t>
      </w:r>
      <w:r>
        <w:rPr>
          <w:rFonts w:ascii="Times New Roman"/>
          <w:b w:val="false"/>
          <w:i w:val="false"/>
          <w:color w:val="000000"/>
          <w:sz w:val="28"/>
        </w:rPr>
        <w:t xml:space="preserve">, слова ", за исключением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 отношении которых устанавливаются более короткие, чем установленные Таможенным </w:t>
      </w:r>
      <w:r>
        <w:rPr>
          <w:rFonts w:ascii="Times New Roman"/>
          <w:b w:val="false"/>
          <w:i w:val="false"/>
          <w:color w:val="000000"/>
          <w:sz w:val="28"/>
        </w:rPr>
        <w:t>кодексом</w:t>
      </w:r>
      <w:r>
        <w:rPr>
          <w:rFonts w:ascii="Times New Roman"/>
          <w:b w:val="false"/>
          <w:i w:val="false"/>
          <w:color w:val="000000"/>
          <w:sz w:val="28"/>
        </w:rPr>
        <w:t xml:space="preserve"> Таможенного союза, предельные сроки временного ввоза" исключить.</w:t>
      </w:r>
    </w:p>
    <w:bookmarkStart w:name="z15" w:id="9"/>
    <w:p>
      <w:pPr>
        <w:spacing w:after="0"/>
        <w:ind w:left="0"/>
        <w:jc w:val="both"/>
      </w:pPr>
      <w:r>
        <w:rPr>
          <w:rFonts w:ascii="Times New Roman"/>
          <w:b w:val="false"/>
          <w:i w:val="false"/>
          <w:color w:val="000000"/>
          <w:sz w:val="28"/>
        </w:rPr>
        <w:t>
      3. Признать утратившими силу: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Решения Комиссии Таможенного союза от 19 мая 2011 г. № 662 "О внесении дополнений в Перечень товаров, временно ввозимых с полным условным освобождением от уплаты таможенных пошлин, налогов, утвержденный Решением Комиссии Таможенного союза от 18 июня 2010 г. № 331, и внесении изменений в Решение Комиссии Таможенного союза от 20 сентября 2010 г. № 375"; </w:t>
      </w:r>
    </w:p>
    <w:bookmarkStart w:name="z18" w:id="10"/>
    <w:p>
      <w:pPr>
        <w:spacing w:after="0"/>
        <w:ind w:left="0"/>
        <w:jc w:val="both"/>
      </w:pPr>
      <w:r>
        <w:rPr>
          <w:rFonts w:ascii="Times New Roman"/>
          <w:b w:val="false"/>
          <w:i w:val="false"/>
          <w:color w:val="000000"/>
          <w:sz w:val="28"/>
        </w:rPr>
        <w:t xml:space="preserve">
      подпункт "м" </w:t>
      </w:r>
      <w:r>
        <w:rPr>
          <w:rFonts w:ascii="Times New Roman"/>
          <w:b w:val="false"/>
          <w:i w:val="false"/>
          <w:color w:val="000000"/>
          <w:sz w:val="28"/>
        </w:rPr>
        <w:t>пункта 1</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14 ноября 2017 г. № 147 "О внесении изменений в Решение Комиссии Таможенного союза от 20 сентября 2010 г. № 375 и Решение Коллегии Евразийской экономической комиссии от 21 апреля 2015 г. № 30"). </w:t>
      </w:r>
    </w:p>
    <w:bookmarkEnd w:id="10"/>
    <w:bookmarkStart w:name="z19" w:id="11"/>
    <w:p>
      <w:pPr>
        <w:spacing w:after="0"/>
        <w:ind w:left="0"/>
        <w:jc w:val="both"/>
      </w:pPr>
      <w:r>
        <w:rPr>
          <w:rFonts w:ascii="Times New Roman"/>
          <w:b w:val="false"/>
          <w:i w:val="false"/>
          <w:color w:val="000000"/>
          <w:sz w:val="28"/>
        </w:rPr>
        <w:t xml:space="preserve">
      4. Настоящее Решение вступает в силу по истечении 10 календарных дней с даты его официального опубликования.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Члены Совета Евразийской экономической комиссии: </w:t>
      </w:r>
      <w:r>
        <w:br/>
      </w:r>
      <w:r>
        <w:rPr>
          <w:rFonts w:ascii="Times New Roman"/>
          <w:b/>
          <w:i w:val="false"/>
          <w:color w:val="000000"/>
        </w:rPr>
        <w:t>
</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