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e3cb" w14:textId="6d1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отнесения упаковки (укупорочных средств) и упаковочных материалов, используемых на судах рыбопромыслового флота при производстве рыбной и иной продукции из водных биологических ресурсов, к товарам, используемым в качестве 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224.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 О критериях отнесения упаковки (укупорочных средств) и упаковочных материалов, используемых на судах рыбопромыслового флота при производстве рыбной и иной продукции из водных биологических ресурсов, к товарам, используемым в качестве припасов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Определить, что к товарам, используемым в качестве припасов, относятся упаковка (укупорочные средства) и упаковочные материалы в случае, если они одновременно соответствуют следующим критериям: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перемещаются (будут перемещаться) через таможенную границу Евразийского экономического союза (далее − Союз) на судне рыбопромыслового флота, сведения о котором включены в государственный судовой реестр, предусмотренный законодательством государства – члена Союза в области транспорта;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предназначены для использования на судне, указанном в подпункте "а" настоящего пункта, при производстве (получении) рыбной и иной продукции из водных биологических ресурсов, указанных в разрешительных документах, дающих право на осуществление их промысла (добычи, вылова) и выданных органом государственной власти государства – члена Союза, уполномоченным в области рыболовства и (или) охраны водных биологических ресурсов;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соответствуют требованиям технических регламентов Союза, региональных (межгосударственных) или национальных (государственных) стандартов, а в случае отсутствия таких требований (регламентов, стандартов) – документам, в соответствии с которыми изготавливается рыбная и иная продукция из водных биологических ресурсов (стандарт организации, технические условия или иной документ производителя);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являются товарами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не применяется в отношении ввозимых на таможенную территорию Союза упаковки (укупорочных средств) и упаковочных материалов, которые были ранее помещены под таможенные процедуры, допускающие вывоз указанных товаров с таможенной территории Союза, вывезены с такой территории и не использованы при производстве рыбной и иной продукции из водных биологических ресурсов до вступления настоящего Решения в силу.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