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e3cb" w14:textId="6d1e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критериях отнесения упаковки (укупорочных средств) и упаковочных материалов, используемых на судах рыбопромыслового флота при производстве рыбной и иной продукции из водных биологических ресурсов, к товарам, используемым в качестве припасов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2019 года № 224.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 О критериях отнесения упаковки (укупорочных средств) и упаковочных материалов, используемых на судах рыбопромыслового флота при производстве рыбной и иной продукции из водных биологических ресурсов, к товарам, используемым в качестве припасов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281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Определить, что к товарам, используемым в качестве припасов, относятся упаковка (укупорочные средства) и упаковочные материалы в случае, если они одновременно соответствуют следующим критериям: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перемещаются (будут перемещаться) через таможенную границу Евразийского экономического союза (далее − Союз) на судне рыбопромыслового флота, сведения о котором включены в государственный судовой реестр, предусмотренный законодательством государства – члена Союза в области транспорта;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предназначены для использования на судне, указанном в подпункте "а" настоящего пункта, при производстве (получении) рыбной и иной продукции из водных биологических ресурсов, указанных в разрешительных документах, дающих право на осуществление их промысла (добычи, вылова) и выданных органом государственной власти государства – члена Союза, уполномоченным в области рыболовства и (или) охраны водных биологических ресурсов;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соответствуют требованиям технических регламентов Союза, региональных (межгосударственных) или национальных (государственных) стандартов, а в случае отсутствия таких требований (регламентов, стандартов) – документам, в соответствии с которыми изготавливается рыбная и иная продукция из водных биологических ресурсов (стандарт организации, технические условия или иной документ производителя);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являются товарами Союза.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не применяется в отношении ввозимых на таможенную территорию Союза упаковки (укупорочных средств) и упаковочных материалов, которые были ранее помещены под таможенные процедуры, допускающие вывоз указанных товаров с таможенной территории Союза, вывезены с такой территории и не использованы при производстве рыбной и иной продукции из водных биологических ресурсов до вступления настоящего Решения в силу.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