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ffac" w14:textId="33ff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антидемпинговой меры посредством введения антидемпинговой пошлины в отношении горячедеформированных бесшовных труб из коррозионностойкой стали, происходящих из Китайской Народной Республики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3 декабря 2019 года № 218</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107</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Применить антидемпинговую меру посредством введения антидемпинговой пошлины в размере 15,50 процента от таможенной стоимости в отношении ввозимых на таможенную территорию Евразийского экономического союза бесшовных труб круглого поперечного сечения из коррозионностойкой стали наружным диаметром до 650 мм включительно, изготовленных методом горячей деформации, происходящих из Китайской Народной Республики и классифицируемых кодами 7304 49 100 0, 7304 49 930 1, 7304 49 930 9, 7304 49 950 1, 7304 49 950 9 и 7304 49 990 0 ТН ВЭД ЕАЭС, установив срок действия данной антидемпинговой меры 5 лет.</w:t>
      </w:r>
    </w:p>
    <w:bookmarkEnd w:id="1"/>
    <w:bookmarkStart w:name="z6" w:id="2"/>
    <w:p>
      <w:pPr>
        <w:spacing w:after="0"/>
        <w:ind w:left="0"/>
        <w:jc w:val="both"/>
      </w:pPr>
      <w:r>
        <w:rPr>
          <w:rFonts w:ascii="Times New Roman"/>
          <w:b w:val="false"/>
          <w:i w:val="false"/>
          <w:color w:val="000000"/>
          <w:sz w:val="28"/>
        </w:rPr>
        <w:t>
      2. Государственным органам государств – членов Евразийского экономического союза, уполномоченным в сфере таможенного дела, обеспечить взимание антидемпинговой пошлины, предусмотренной настоящим Решением, руководствуясь как кодами ТН ВЭД ЕАЭС, так и наименованием товара.</w:t>
      </w:r>
    </w:p>
    <w:bookmarkEnd w:id="2"/>
    <w:bookmarkStart w:name="z7" w:id="3"/>
    <w:p>
      <w:pPr>
        <w:spacing w:after="0"/>
        <w:ind w:left="0"/>
        <w:jc w:val="both"/>
      </w:pPr>
      <w:r>
        <w:rPr>
          <w:rFonts w:ascii="Times New Roman"/>
          <w:b w:val="false"/>
          <w:i w:val="false"/>
          <w:color w:val="000000"/>
          <w:sz w:val="28"/>
        </w:rPr>
        <w:t>
      3. Настоящее Решение вступает в силу с 1 февраля 2020 г.</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