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b9b7" w14:textId="50bb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технологической линии для изготовления сырой резиновой смеси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декабря 2019 года № 217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Технологическая линия для изготовления сырой резиновой смеси, состоящая из следующих компонентов (устройств, агрегатов, механизмов):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для хранения, дозирования и подачи каучука и жидких ингредиентов резиновой смеси;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для хранения, дозирования и подачи порошковых ингредиентов резиновой смеси;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закрытый роторный резиносмеситель, предназначенный для первичного смешения каучука, жидких и порошкообразных ингредиентов резиновой смеси;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горизонтальные открытые двухроторные смесители (цилиндрические роторы), предназначенные для дальнейшего смешения ингредиентов резиновой смеси, ее разогрева, пластикации и придания формы в виде ленты;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ленточные транспортеры,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Основным правилом интерпретации Товарной номенклатуры внешнеэкономической деятельности 1 классифицируется в товарной позиции 8477 единой Товарной номенклатуры внешнеэкономической деятельности Евразийского экономического союза.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