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061" w14:textId="5bbb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ламп светоизлучающих диодных (LED)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208.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исключить из единой Товарной номенклатуры внешнеэкономической деятельности Евразийского экономического союза субпозицию согласно приложению № 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установить ставки ввозных таможенных пошлин Единого таможенного тарифа Евразийского экономического союза согласно приложению № 3;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примечанием 65С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5 %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декабря 2019 г. № 119 по 31.12.2020 включительно.";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ламп светоизлучающих диодных (LED).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208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лампы светоизлучающие диодные (LED)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208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8539 50 000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лампы светоизлучающие диодные (LED):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 светодиодными нитями, представляющими собой не менее 24 последовательно соединенных светодиодов на подложке, с покрытием композитом, содержащим люминофор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двухцокольные, в виде прямых трубок диаметром не менее 25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г. № 208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 светодиодными нитями, представляющими собой не менее 24 последовательно соединенных светодиодов на подложке, с покрытием композитом, содержащим люминофор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двухцокольные, в виде прямых трубок диаметром не менее 25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8539 50 000 9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