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dd56" w14:textId="f86dd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Правила внутреннего документооборота в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ноября 2019 года № 197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в целях оптимизации работы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документооборота в Евразийской экономической комиссии, утвержденные Решением Коллегии Евразийской экономической комиссии от 5 мая 2015 г. № 46,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10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ноября 2019 г. № 197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Правила внутреннего документооборота Евразийской экономической комиссии    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105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"совместно с Департаментом информационных технологий" исключить.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"148. Предназначенный для размещения на официальном сайте Союза файл решения (распоряжения) Межправительственного совета, решения (распоряжения) Высшего совета направляется в Департамент информационных технологий посредством электронной почты в приложении к соответствующему электронному сообщению ответственным сотрудником Правового департамента.".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</w:t>
      </w:r>
      <w:r>
        <w:rPr>
          <w:rFonts w:ascii="Times New Roman"/>
          <w:b w:val="false"/>
          <w:i w:val="false"/>
          <w:color w:val="000000"/>
          <w:sz w:val="28"/>
        </w:rPr>
        <w:t>пункте 151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абзац второй изложить в следующей редакции: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"Для подготовки справочной информации о календарной дате вступления в силу актов органов Союза, в которых момент вступления в силу не определен конкретной календарной датой или датой официального опубликования, в Правовой департамент направляется в день размещения акта на официальном сайте Союза служебная записка о необходимости определения календарной даты вступления в силу акта с приложением перечня опубликованных актов. Служебная записка направляется в отношении актов Комиссии – Департаментом протокола и организационного обеспечения, в отношении актов Межправительственного совета и Высшего совета – Департаментом информационных технологий.";  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абзацах третьем и пятом слова "в Департамент" заменить словами "соответственно в Департамент протокола и организационного обеспечения или Департамент". 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