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c51e4" w14:textId="ddc51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классификации мешков бумажных в соответствии с единой Товарной номенклатурой внешнеэкономической деятельности Евразийского экономического союза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Коллегии Евразийской экономической комиссии от 19 ноября 2019 года № 196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абзацем первым </w:t>
      </w:r>
      <w:r>
        <w:rPr>
          <w:rFonts w:ascii="Times New Roman"/>
          <w:b w:val="false"/>
          <w:i w:val="false"/>
          <w:color w:val="000000"/>
          <w:sz w:val="28"/>
        </w:rPr>
        <w:t>пункта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Таможенного кодекса Евразийского экономического союза Коллегия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rPr>
          <w:rFonts w:ascii="Times New Roman"/>
          <w:b w:val="false"/>
          <w:i w:val="false"/>
          <w:color w:val="000000"/>
          <w:sz w:val="28"/>
        </w:rPr>
        <w:t xml:space="preserve">  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Мешки бумажные закрытого типа, имеющие клапан и боковые стороны (в том числе фальцы), с шириной у основания менее 40 см (без учета размеров фальцев или боковых сторон), в заполненном виде принимающие форму прямоугольного параллелепипеда, с напечатанными текстом и (или) изображениями (или без них), предназначенные для размещения, защиты, перемещения и хранения продукции, в соответствии с Основными правилами интерпретации Товарной номенклатуры внешнеэкономической деятельности 1 и 6 классифицируются в субпозиции 4819 40 000 0 единой Товарной номенклатуры внешнеэкономической деятельности Евразийского экономического союза (схематическое изображение мешков бумажных с указанием места замера ширины у основания приведено в приложении).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Коллегии      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Евразийской экономической комиссии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Т. Саркисян  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Коллегии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Евразийской экономической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комиссии    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19 ноября 2019 г. № 196     </w:t>
            </w:r>
          </w:p>
        </w:tc>
      </w:tr>
    </w:tbl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СХЕМАТИЧЕСКОЕ ИЗОБРАЖЕНИЕ       </w:t>
      </w:r>
      <w:r>
        <w:br/>
      </w:r>
      <w:r>
        <w:rPr>
          <w:rFonts w:ascii="Times New Roman"/>
          <w:b/>
          <w:i w:val="false"/>
          <w:color w:val="000000"/>
        </w:rPr>
        <w:t xml:space="preserve">мешков бумажных с указанием места замера ширины у основания        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"/>
    <w:p>
      <w:pPr>
        <w:spacing w:after="0"/>
        <w:ind w:left="0"/>
        <w:jc w:val="both"/>
      </w:pPr>
      <w:r>
        <w:drawing>
          <wp:inline distT="0" distB="0" distL="0" distR="0">
            <wp:extent cx="7810500" cy="4521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521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