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b25" w14:textId="cac3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ставок ввозных таможенных пошлин Единого таможенного тарифа Евразийского экономического союза в отношении отходов и лома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162.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действия ставок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в отношении отходов и лома драгоценных металлов, классифицируемых кодами 7112 30 000 0, 7112 91 000 0, 7112 92 000 0 и 7112 99 000 0 ТН ВЭД ЕАЭС, в размере 0 процентов от таможенной стоимости по 31 декабря 2022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с кодами 7112 30 000 0, 7112 91 000 0, 7112 92 000 0 и 7112 99 000 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60С следующего содержания: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01.01.2020 по 31.12.2022 включительно.".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опубликования, но не ранее 1 января 2020 г.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