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3b25" w14:textId="cac3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действия ставок ввозных таможенных пошлин Единого таможенного тарифа Евразийского экономического союза в отношении отходов и лома драгоценных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сентября 2019 года № 162.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Продлить срок действия ставок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 54) в отношении отходов и лома драгоценных металлов, классифицируемых кодами 7112 30 000 0, 7112 91 000 0, 7112 92 000 0 и 7112 99 000 0 ТН ВЭД ЕАЭС, в размере 0 процентов от таможенной стоимости по 31 декабря 2022 г. включительно.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 54) следующие изменения: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позициях с кодами 7112 30 000 0, 7112 91 000 0, 7112 92 000 0 и 7112 99 000 0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1С)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60С)</w:t>
      </w:r>
      <w:r>
        <w:rPr>
          <w:rFonts w:ascii="Times New Roman"/>
          <w:b w:val="false"/>
          <w:i w:val="false"/>
          <w:color w:val="000000"/>
          <w:sz w:val="28"/>
        </w:rPr>
        <w:t xml:space="preserve">";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60С следующего содержания: 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60С)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0 (ноль) % от таможенной стоимости применяется с 01.01.2020 по 31.12.2022 включительно.". 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 календарных дней с даты его официального опубликования, но не ранее 1 января 2020 г. 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