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641a" w14:textId="ae06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подовой массы для футеровки алюминиевых электролизеров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2019 года № 161.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исключить из единой Товарной номенклатуры внешнеэкономической деятельности Евразийского экономического союза 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включить в единую Товарную номенклатуру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;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дополнить примечания к Единому таможенному тарифу Евразийского экономического союза примечанием 61С следующего содержания: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61С)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0 (ноль) % от таможенной стоимости применяется с даты вступления в силу Решения Коллегии Евразийской экономической комиссии от 17 сентября 2019 г. № 161 по 31.10.2020 включительно.".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 календарных дней с даты его официального опубликования.  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г. № 161  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исключаемая из единой Товарной номенклатуры внешнеэкономической деятельности Евразийского экономического союза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позиции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г. № 161  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внешнеэкономической деятельности Евразийского экономического союза 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3801 90 000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3801 90 000 1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масса подовая для футеровки алюминиевых электролизеров в виде рассыпчатого маслянистого материала с массовой долей веществ, не растворимых в хинолине, не менее 76 %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3801 90 000 9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г. № 161 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3801 90 000 1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масса подовая для футеровки алюминиевых электролизеров в виде рассыпчатого маслянистого материала с массовой долей веществ, не растворимых в хинолине, не менее 76 %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3801 90 000 9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